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19E3D" w14:textId="2FA9AEAD" w:rsidR="00E44B14" w:rsidRPr="00D72387" w:rsidRDefault="00376EC3" w:rsidP="00D72387">
      <w:pPr>
        <w:spacing w:before="120" w:after="0" w:line="240" w:lineRule="auto"/>
        <w:jc w:val="center"/>
        <w:rPr>
          <w:rFonts w:ascii="Arial Narrow" w:hAnsi="Arial Narrow" w:cs="Times New Roman"/>
          <w:b/>
          <w:sz w:val="23"/>
          <w:szCs w:val="23"/>
          <w:u w:val="single"/>
        </w:rPr>
      </w:pPr>
      <w:bookmarkStart w:id="0" w:name="_GoBack"/>
      <w:bookmarkEnd w:id="0"/>
      <w:r w:rsidRPr="00D72387">
        <w:rPr>
          <w:rFonts w:ascii="Arial Narrow" w:hAnsi="Arial Narrow" w:cs="Times New Roman"/>
          <w:b/>
          <w:sz w:val="23"/>
          <w:szCs w:val="23"/>
          <w:u w:val="single"/>
        </w:rPr>
        <w:t>Consultation Projet HPC</w:t>
      </w:r>
      <w:r w:rsidR="00432A57" w:rsidRPr="00D72387">
        <w:rPr>
          <w:rFonts w:ascii="Arial Narrow" w:hAnsi="Arial Narrow" w:cs="Times New Roman"/>
          <w:b/>
          <w:sz w:val="23"/>
          <w:szCs w:val="23"/>
          <w:u w:val="single"/>
        </w:rPr>
        <w:t>,</w:t>
      </w:r>
      <w:r w:rsidR="005720C3">
        <w:rPr>
          <w:rFonts w:ascii="Arial Narrow" w:hAnsi="Arial Narrow" w:cs="Times New Roman"/>
          <w:b/>
          <w:sz w:val="23"/>
          <w:szCs w:val="23"/>
          <w:u w:val="single"/>
        </w:rPr>
        <w:t xml:space="preserve"> </w:t>
      </w:r>
      <w:r w:rsidR="00EA4DEC">
        <w:rPr>
          <w:rFonts w:ascii="Arial Narrow" w:hAnsi="Arial Narrow" w:cs="Times New Roman"/>
          <w:b/>
          <w:sz w:val="23"/>
          <w:szCs w:val="23"/>
          <w:u w:val="single"/>
        </w:rPr>
        <w:t xml:space="preserve">23 </w:t>
      </w:r>
      <w:r w:rsidR="00432A57" w:rsidRPr="00D72387">
        <w:rPr>
          <w:rFonts w:ascii="Arial Narrow" w:hAnsi="Arial Narrow" w:cs="Times New Roman"/>
          <w:b/>
          <w:sz w:val="23"/>
          <w:szCs w:val="23"/>
          <w:u w:val="single"/>
        </w:rPr>
        <w:t>jan 2019</w:t>
      </w:r>
    </w:p>
    <w:p w14:paraId="791C0CF7" w14:textId="1F9F50B2" w:rsidR="007F3BE4" w:rsidRDefault="00376EC3" w:rsidP="00D72387">
      <w:pPr>
        <w:spacing w:before="120" w:after="0" w:line="240" w:lineRule="auto"/>
        <w:jc w:val="center"/>
        <w:rPr>
          <w:rFonts w:ascii="Arial Narrow" w:hAnsi="Arial Narrow" w:cs="Times New Roman"/>
          <w:b/>
          <w:sz w:val="23"/>
          <w:szCs w:val="23"/>
          <w:u w:val="single"/>
        </w:rPr>
      </w:pPr>
      <w:r w:rsidRPr="00D72387">
        <w:rPr>
          <w:rFonts w:ascii="Arial Narrow" w:hAnsi="Arial Narrow" w:cs="Times New Roman"/>
          <w:b/>
          <w:sz w:val="23"/>
          <w:szCs w:val="23"/>
          <w:u w:val="single"/>
        </w:rPr>
        <w:t>Déclaration FO</w:t>
      </w:r>
      <w:r w:rsidR="00432A57" w:rsidRPr="00D72387">
        <w:rPr>
          <w:rFonts w:ascii="Arial Narrow" w:hAnsi="Arial Narrow" w:cs="Times New Roman"/>
          <w:b/>
          <w:sz w:val="23"/>
          <w:szCs w:val="23"/>
          <w:u w:val="single"/>
        </w:rPr>
        <w:t xml:space="preserve">, </w:t>
      </w:r>
      <w:r w:rsidR="00A14084">
        <w:rPr>
          <w:rFonts w:ascii="Arial Narrow" w:hAnsi="Arial Narrow" w:cs="Times New Roman"/>
          <w:b/>
          <w:sz w:val="23"/>
          <w:szCs w:val="23"/>
          <w:u w:val="single"/>
        </w:rPr>
        <w:t>CCE du 23 janvier 2019</w:t>
      </w:r>
    </w:p>
    <w:p w14:paraId="61897380" w14:textId="77777777" w:rsidR="00AB0704" w:rsidRPr="00D72387" w:rsidRDefault="00AB0704" w:rsidP="00D72387">
      <w:pPr>
        <w:spacing w:before="120" w:after="0" w:line="240" w:lineRule="auto"/>
        <w:jc w:val="center"/>
        <w:rPr>
          <w:rFonts w:ascii="Arial Narrow" w:hAnsi="Arial Narrow" w:cs="Times New Roman"/>
          <w:b/>
          <w:sz w:val="23"/>
          <w:szCs w:val="23"/>
          <w:u w:val="single"/>
        </w:rPr>
      </w:pPr>
    </w:p>
    <w:p w14:paraId="0F5DEAE9" w14:textId="77777777" w:rsidR="00376EC3" w:rsidRPr="00D72387" w:rsidRDefault="00376EC3" w:rsidP="00D72387">
      <w:pPr>
        <w:spacing w:before="120" w:after="0" w:line="240" w:lineRule="auto"/>
        <w:jc w:val="both"/>
        <w:rPr>
          <w:rFonts w:ascii="Arial Narrow" w:hAnsi="Arial Narrow" w:cs="Times New Roman"/>
          <w:sz w:val="23"/>
          <w:szCs w:val="23"/>
        </w:rPr>
      </w:pPr>
    </w:p>
    <w:p w14:paraId="4FEF5642" w14:textId="403406EE" w:rsidR="00D72387" w:rsidRDefault="00376EC3"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sz w:val="23"/>
          <w:szCs w:val="23"/>
        </w:rPr>
        <w:t>Monsieur le Président,</w:t>
      </w:r>
    </w:p>
    <w:p w14:paraId="39085366" w14:textId="77777777" w:rsidR="005001A1" w:rsidRPr="00D72387" w:rsidRDefault="005001A1" w:rsidP="00D72387">
      <w:pPr>
        <w:spacing w:before="120" w:after="0" w:line="240" w:lineRule="auto"/>
        <w:jc w:val="both"/>
        <w:rPr>
          <w:rFonts w:ascii="Arial Narrow" w:hAnsi="Arial Narrow" w:cs="Times New Roman"/>
          <w:sz w:val="23"/>
          <w:szCs w:val="23"/>
        </w:rPr>
      </w:pPr>
    </w:p>
    <w:p w14:paraId="085C41EE" w14:textId="5660A1B6" w:rsidR="00376EC3" w:rsidRPr="00D72387" w:rsidRDefault="00524523"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b/>
          <w:color w:val="0070C0"/>
          <w:sz w:val="23"/>
          <w:szCs w:val="23"/>
        </w:rPr>
        <w:t>1.</w:t>
      </w:r>
      <w:r w:rsidRPr="00D72387">
        <w:rPr>
          <w:rFonts w:ascii="Arial Narrow" w:hAnsi="Arial Narrow" w:cs="Times New Roman"/>
          <w:color w:val="0070C0"/>
          <w:sz w:val="23"/>
          <w:szCs w:val="23"/>
        </w:rPr>
        <w:t xml:space="preserve"> </w:t>
      </w:r>
      <w:r w:rsidR="00376EC3" w:rsidRPr="00D72387">
        <w:rPr>
          <w:rFonts w:ascii="Arial Narrow" w:hAnsi="Arial Narrow" w:cs="Times New Roman"/>
          <w:sz w:val="23"/>
          <w:szCs w:val="23"/>
        </w:rPr>
        <w:t>Nous nous réunissons aujourd’hui sur la base d’un arrêt de la Cour d’Appel de Paris ayant enjoint</w:t>
      </w:r>
      <w:r w:rsidR="00107CFB" w:rsidRPr="00D72387">
        <w:rPr>
          <w:rFonts w:ascii="Arial Narrow" w:hAnsi="Arial Narrow" w:cs="Times New Roman"/>
          <w:sz w:val="23"/>
          <w:szCs w:val="23"/>
        </w:rPr>
        <w:t xml:space="preserve"> à EDF</w:t>
      </w:r>
      <w:r w:rsidR="005432D8" w:rsidRPr="00D72387">
        <w:rPr>
          <w:rFonts w:ascii="Arial Narrow" w:hAnsi="Arial Narrow" w:cs="Times New Roman"/>
          <w:sz w:val="23"/>
          <w:szCs w:val="23"/>
        </w:rPr>
        <w:t>, à la demande de notre CCE,</w:t>
      </w:r>
      <w:r w:rsidR="00107CFB" w:rsidRPr="00D72387">
        <w:rPr>
          <w:rFonts w:ascii="Arial Narrow" w:hAnsi="Arial Narrow" w:cs="Times New Roman"/>
          <w:sz w:val="23"/>
          <w:szCs w:val="23"/>
        </w:rPr>
        <w:t xml:space="preserve"> </w:t>
      </w:r>
      <w:r w:rsidR="00376EC3" w:rsidRPr="00D72387">
        <w:rPr>
          <w:rFonts w:ascii="Arial Narrow" w:hAnsi="Arial Narrow" w:cs="Times New Roman"/>
          <w:sz w:val="23"/>
          <w:szCs w:val="23"/>
        </w:rPr>
        <w:t>de donner des compléments d’information sur le dossier HPC, dossier que la Cour d’Appel considère à juste titre comme « comportant des enjeux d’une exceptionnelle importance en termes d’engagements financiers, de durée du projet, de stratégie du groupe ayant un impact sur le nombre d’emplois en France et à l’international ».</w:t>
      </w:r>
    </w:p>
    <w:p w14:paraId="5659FF82" w14:textId="77777777" w:rsidR="00376EC3" w:rsidRPr="00D72387" w:rsidRDefault="00376EC3"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sz w:val="23"/>
          <w:szCs w:val="23"/>
        </w:rPr>
        <w:t xml:space="preserve">La Cour enjoint plus précisément </w:t>
      </w:r>
      <w:r w:rsidR="00242320" w:rsidRPr="00D72387">
        <w:rPr>
          <w:rFonts w:ascii="Arial Narrow" w:hAnsi="Arial Narrow" w:cs="Times New Roman"/>
          <w:sz w:val="23"/>
          <w:szCs w:val="23"/>
        </w:rPr>
        <w:t xml:space="preserve">à </w:t>
      </w:r>
      <w:r w:rsidRPr="00D72387">
        <w:rPr>
          <w:rFonts w:ascii="Arial Narrow" w:hAnsi="Arial Narrow" w:cs="Times New Roman"/>
          <w:sz w:val="23"/>
          <w:szCs w:val="23"/>
        </w:rPr>
        <w:t>EDF de transmettre au CCE « la remise de l’intégralité du rapport d’Escatha », lequel se « présente comme une information indispensable pour permettre aux élus de donner un avis éclairé sur le projet dans son ensemble mais aussi de suivre l’évolution de sa mise en œuvre par les filiales du groupe au regard des risques énumérés en phase initiale ».</w:t>
      </w:r>
    </w:p>
    <w:p w14:paraId="431FB1A6" w14:textId="77777777" w:rsidR="00DB69B6" w:rsidRPr="00D72387" w:rsidRDefault="00DB69B6" w:rsidP="00D72387">
      <w:pPr>
        <w:spacing w:before="120" w:after="0" w:line="240" w:lineRule="auto"/>
        <w:jc w:val="both"/>
        <w:rPr>
          <w:rFonts w:ascii="Arial Narrow" w:hAnsi="Arial Narrow" w:cs="Times New Roman"/>
          <w:sz w:val="23"/>
          <w:szCs w:val="23"/>
        </w:rPr>
      </w:pPr>
    </w:p>
    <w:p w14:paraId="55ABF2F8" w14:textId="1D751A68" w:rsidR="00376EC3" w:rsidRPr="00D72387" w:rsidRDefault="00DB69B6"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b/>
          <w:color w:val="0070C0"/>
          <w:sz w:val="23"/>
          <w:szCs w:val="23"/>
        </w:rPr>
        <w:t>2</w:t>
      </w:r>
      <w:r w:rsidR="00BF371C" w:rsidRPr="00D72387">
        <w:rPr>
          <w:rFonts w:ascii="Arial Narrow" w:hAnsi="Arial Narrow" w:cs="Times New Roman"/>
          <w:b/>
          <w:color w:val="0070C0"/>
          <w:sz w:val="23"/>
          <w:szCs w:val="23"/>
        </w:rPr>
        <w:t>.</w:t>
      </w:r>
      <w:r w:rsidRPr="00D72387">
        <w:rPr>
          <w:rFonts w:ascii="Arial Narrow" w:hAnsi="Arial Narrow" w:cs="Times New Roman"/>
          <w:color w:val="0070C0"/>
          <w:sz w:val="23"/>
          <w:szCs w:val="23"/>
        </w:rPr>
        <w:t xml:space="preserve"> </w:t>
      </w:r>
      <w:r w:rsidR="008F6C13" w:rsidRPr="00D72387">
        <w:rPr>
          <w:rFonts w:ascii="Arial Narrow" w:hAnsi="Arial Narrow" w:cs="Times New Roman"/>
          <w:sz w:val="23"/>
          <w:szCs w:val="23"/>
        </w:rPr>
        <w:t>C’est bien dans ce cadre juridique que nous situerons notre déclaration.</w:t>
      </w:r>
    </w:p>
    <w:p w14:paraId="4094FEA4" w14:textId="3FE6D324" w:rsidR="008F6C13" w:rsidRPr="00D72387" w:rsidRDefault="008F6C13"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sz w:val="23"/>
          <w:szCs w:val="23"/>
        </w:rPr>
        <w:t>En pr</w:t>
      </w:r>
      <w:r w:rsidR="007F3BE4" w:rsidRPr="00D72387">
        <w:rPr>
          <w:rFonts w:ascii="Arial Narrow" w:hAnsi="Arial Narrow" w:cs="Times New Roman"/>
          <w:sz w:val="23"/>
          <w:szCs w:val="23"/>
        </w:rPr>
        <w:t xml:space="preserve">éambule, nous voulons </w:t>
      </w:r>
      <w:r w:rsidRPr="00D72387">
        <w:rPr>
          <w:rFonts w:ascii="Arial Narrow" w:hAnsi="Arial Narrow" w:cs="Times New Roman"/>
          <w:sz w:val="23"/>
          <w:szCs w:val="23"/>
        </w:rPr>
        <w:t>rappeler que ce dossier HPC, sans doute le plus structurant pour EDF depuis les années 70</w:t>
      </w:r>
      <w:r w:rsidR="007F3BE4" w:rsidRPr="00D72387">
        <w:rPr>
          <w:rFonts w:ascii="Arial Narrow" w:hAnsi="Arial Narrow" w:cs="Times New Roman"/>
          <w:sz w:val="23"/>
          <w:szCs w:val="23"/>
        </w:rPr>
        <w:t xml:space="preserve">, </w:t>
      </w:r>
      <w:r w:rsidR="00604EFC" w:rsidRPr="00D72387">
        <w:rPr>
          <w:rFonts w:ascii="Arial Narrow" w:hAnsi="Arial Narrow" w:cs="Times New Roman"/>
          <w:sz w:val="23"/>
          <w:szCs w:val="23"/>
        </w:rPr>
        <w:t>tant</w:t>
      </w:r>
      <w:r w:rsidR="00EC0344">
        <w:rPr>
          <w:rFonts w:ascii="Arial Narrow" w:hAnsi="Arial Narrow" w:cs="Times New Roman"/>
          <w:sz w:val="23"/>
          <w:szCs w:val="23"/>
        </w:rPr>
        <w:t xml:space="preserve"> au plan industriel que</w:t>
      </w:r>
      <w:r w:rsidR="007F3BE4" w:rsidRPr="00D72387">
        <w:rPr>
          <w:rFonts w:ascii="Arial Narrow" w:hAnsi="Arial Narrow" w:cs="Times New Roman"/>
          <w:sz w:val="23"/>
          <w:szCs w:val="23"/>
        </w:rPr>
        <w:t xml:space="preserve"> financier,</w:t>
      </w:r>
      <w:r w:rsidRPr="00D72387">
        <w:rPr>
          <w:rFonts w:ascii="Arial Narrow" w:hAnsi="Arial Narrow" w:cs="Times New Roman"/>
          <w:sz w:val="23"/>
          <w:szCs w:val="23"/>
        </w:rPr>
        <w:t xml:space="preserve"> et qui a causé une très grande inquiétude au sein du personnel, aurait mérité effectivement que tout soit mis sur la table</w:t>
      </w:r>
      <w:r w:rsidR="00107CFB" w:rsidRPr="00D72387">
        <w:rPr>
          <w:rFonts w:ascii="Arial Narrow" w:hAnsi="Arial Narrow" w:cs="Times New Roman"/>
          <w:sz w:val="23"/>
          <w:szCs w:val="23"/>
        </w:rPr>
        <w:t xml:space="preserve"> dès l’origine et que le CCE ne </w:t>
      </w:r>
      <w:r w:rsidRPr="00D72387">
        <w:rPr>
          <w:rFonts w:ascii="Arial Narrow" w:hAnsi="Arial Narrow" w:cs="Times New Roman"/>
          <w:sz w:val="23"/>
          <w:szCs w:val="23"/>
        </w:rPr>
        <w:t>soit pas contraint d’aller en justice pour obtenir l’information suffisa</w:t>
      </w:r>
      <w:r w:rsidR="001E1090" w:rsidRPr="00D72387">
        <w:rPr>
          <w:rFonts w:ascii="Arial Narrow" w:hAnsi="Arial Narrow" w:cs="Times New Roman"/>
          <w:sz w:val="23"/>
          <w:szCs w:val="23"/>
        </w:rPr>
        <w:t>nte nécessaire pour donner un avis</w:t>
      </w:r>
      <w:r w:rsidRPr="00D72387">
        <w:rPr>
          <w:rFonts w:ascii="Arial Narrow" w:hAnsi="Arial Narrow" w:cs="Times New Roman"/>
          <w:sz w:val="23"/>
          <w:szCs w:val="23"/>
        </w:rPr>
        <w:t>.</w:t>
      </w:r>
    </w:p>
    <w:p w14:paraId="2EF9BEA8" w14:textId="153ED2A7" w:rsidR="008F6C13" w:rsidRPr="00D72387" w:rsidRDefault="007F3BE4"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sz w:val="23"/>
          <w:szCs w:val="23"/>
        </w:rPr>
        <w:t xml:space="preserve">C’est d’autant plus regrettable </w:t>
      </w:r>
      <w:r w:rsidR="00A96FF2" w:rsidRPr="00D72387">
        <w:rPr>
          <w:rFonts w:ascii="Arial Narrow" w:hAnsi="Arial Narrow" w:cs="Times New Roman"/>
          <w:sz w:val="23"/>
          <w:szCs w:val="23"/>
        </w:rPr>
        <w:t xml:space="preserve">que le CA </w:t>
      </w:r>
      <w:r w:rsidRPr="00D72387">
        <w:rPr>
          <w:rFonts w:ascii="Arial Narrow" w:hAnsi="Arial Narrow" w:cs="Times New Roman"/>
          <w:sz w:val="23"/>
          <w:szCs w:val="23"/>
        </w:rPr>
        <w:t>a crû, contre l’avis de l’ensemble des administrateurs salariés, donner le feu vert à la FID</w:t>
      </w:r>
      <w:r w:rsidR="00EC0344">
        <w:rPr>
          <w:rFonts w:ascii="Arial Narrow" w:hAnsi="Arial Narrow" w:cs="Times New Roman"/>
          <w:sz w:val="23"/>
          <w:szCs w:val="23"/>
        </w:rPr>
        <w:t>,</w:t>
      </w:r>
      <w:r w:rsidRPr="00D72387">
        <w:rPr>
          <w:rFonts w:ascii="Arial Narrow" w:hAnsi="Arial Narrow" w:cs="Times New Roman"/>
          <w:sz w:val="23"/>
          <w:szCs w:val="23"/>
        </w:rPr>
        <w:t xml:space="preserve"> sans attendre q</w:t>
      </w:r>
      <w:r w:rsidR="00AF0076">
        <w:rPr>
          <w:rFonts w:ascii="Arial Narrow" w:hAnsi="Arial Narrow" w:cs="Times New Roman"/>
          <w:sz w:val="23"/>
          <w:szCs w:val="23"/>
        </w:rPr>
        <w:t>ue le contentieux avec le CCE</w:t>
      </w:r>
      <w:r w:rsidRPr="00D72387">
        <w:rPr>
          <w:rFonts w:ascii="Arial Narrow" w:hAnsi="Arial Narrow" w:cs="Times New Roman"/>
          <w:sz w:val="23"/>
          <w:szCs w:val="23"/>
        </w:rPr>
        <w:t xml:space="preserve"> soit purgé.</w:t>
      </w:r>
    </w:p>
    <w:p w14:paraId="3E140E25" w14:textId="33E1DD8E" w:rsidR="00A96FF2" w:rsidRPr="00D72387" w:rsidRDefault="007F3BE4"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sz w:val="23"/>
          <w:szCs w:val="23"/>
        </w:rPr>
        <w:t>Or,</w:t>
      </w:r>
      <w:r w:rsidR="00D2441E" w:rsidRPr="00D72387">
        <w:rPr>
          <w:rFonts w:ascii="Arial Narrow" w:hAnsi="Arial Narrow" w:cs="Times New Roman"/>
          <w:sz w:val="23"/>
          <w:szCs w:val="23"/>
        </w:rPr>
        <w:t xml:space="preserve"> chacun se souvient qu’à peine un an après, en </w:t>
      </w:r>
      <w:r w:rsidR="00A96FF2" w:rsidRPr="00D72387">
        <w:rPr>
          <w:rFonts w:ascii="Arial Narrow" w:hAnsi="Arial Narrow" w:cs="Times New Roman"/>
          <w:sz w:val="23"/>
          <w:szCs w:val="23"/>
        </w:rPr>
        <w:t>2017,</w:t>
      </w:r>
      <w:r w:rsidR="00D2441E" w:rsidRPr="00D72387">
        <w:rPr>
          <w:rFonts w:ascii="Arial Narrow" w:hAnsi="Arial Narrow" w:cs="Times New Roman"/>
          <w:sz w:val="23"/>
          <w:szCs w:val="23"/>
        </w:rPr>
        <w:t xml:space="preserve"> une revue des coûts et du calendrier d’HPC a abouti à une augmentation des coûts du projet de 1,5 Mds £ </w:t>
      </w:r>
      <w:r w:rsidR="00AF0076">
        <w:rPr>
          <w:rFonts w:ascii="Arial Narrow" w:hAnsi="Arial Narrow" w:cs="Times New Roman"/>
          <w:sz w:val="23"/>
          <w:szCs w:val="23"/>
        </w:rPr>
        <w:t>(</w:t>
      </w:r>
      <w:r w:rsidR="00D2441E" w:rsidRPr="00D72387">
        <w:rPr>
          <w:rFonts w:ascii="Arial Narrow" w:hAnsi="Arial Narrow" w:cs="Times New Roman"/>
          <w:sz w:val="23"/>
          <w:szCs w:val="23"/>
        </w:rPr>
        <w:t>valeur 2015</w:t>
      </w:r>
      <w:r w:rsidR="00AF0076">
        <w:rPr>
          <w:rFonts w:ascii="Arial Narrow" w:hAnsi="Arial Narrow" w:cs="Times New Roman"/>
          <w:sz w:val="23"/>
          <w:szCs w:val="23"/>
        </w:rPr>
        <w:t>)</w:t>
      </w:r>
      <w:r w:rsidR="00D2441E" w:rsidRPr="00D72387">
        <w:rPr>
          <w:rFonts w:ascii="Arial Narrow" w:hAnsi="Arial Narrow" w:cs="Times New Roman"/>
          <w:sz w:val="23"/>
          <w:szCs w:val="23"/>
        </w:rPr>
        <w:t xml:space="preserve"> liée « à une meilleure appréhension du design adapté aux demandes des régulateurs, du volume et du séquencement des travaux sur site et de la mise en place des contrats fournisseurs » (CP d’EDF du 3 juillet 2017).</w:t>
      </w:r>
      <w:r w:rsidR="00A96FF2" w:rsidRPr="00D72387">
        <w:rPr>
          <w:rFonts w:ascii="Arial Narrow" w:hAnsi="Arial Narrow" w:cs="Times New Roman"/>
          <w:sz w:val="23"/>
          <w:szCs w:val="23"/>
        </w:rPr>
        <w:t xml:space="preserve"> </w:t>
      </w:r>
    </w:p>
    <w:p w14:paraId="19DAD5FC" w14:textId="77777777" w:rsidR="00DB69B6" w:rsidRPr="00D72387" w:rsidRDefault="00DB69B6" w:rsidP="00D72387">
      <w:pPr>
        <w:spacing w:before="120" w:after="0" w:line="240" w:lineRule="auto"/>
        <w:jc w:val="both"/>
        <w:rPr>
          <w:rFonts w:ascii="Arial Narrow" w:hAnsi="Arial Narrow" w:cs="Times New Roman"/>
          <w:sz w:val="23"/>
          <w:szCs w:val="23"/>
        </w:rPr>
      </w:pPr>
    </w:p>
    <w:p w14:paraId="2921531B" w14:textId="0B77D1FF" w:rsidR="008F6C13" w:rsidRPr="00D72387" w:rsidRDefault="00DB69B6" w:rsidP="00D72387">
      <w:pPr>
        <w:pStyle w:val="Paragraphedeliste"/>
        <w:spacing w:before="120" w:after="0" w:line="240" w:lineRule="auto"/>
        <w:ind w:left="0"/>
        <w:contextualSpacing w:val="0"/>
        <w:jc w:val="both"/>
        <w:rPr>
          <w:rFonts w:ascii="Arial Narrow" w:hAnsi="Arial Narrow" w:cs="Times New Roman"/>
          <w:sz w:val="23"/>
          <w:szCs w:val="23"/>
        </w:rPr>
      </w:pPr>
      <w:r w:rsidRPr="00D72387">
        <w:rPr>
          <w:rFonts w:ascii="Arial Narrow" w:hAnsi="Arial Narrow" w:cs="Times New Roman"/>
          <w:b/>
          <w:color w:val="0070C0"/>
          <w:sz w:val="23"/>
          <w:szCs w:val="23"/>
        </w:rPr>
        <w:t>3</w:t>
      </w:r>
      <w:r w:rsidR="00BF371C" w:rsidRPr="00D72387">
        <w:rPr>
          <w:rFonts w:ascii="Arial Narrow" w:hAnsi="Arial Narrow" w:cs="Times New Roman"/>
          <w:b/>
          <w:color w:val="0070C0"/>
          <w:sz w:val="23"/>
          <w:szCs w:val="23"/>
        </w:rPr>
        <w:t>.</w:t>
      </w:r>
      <w:r w:rsidRPr="00D72387">
        <w:rPr>
          <w:rFonts w:ascii="Arial Narrow" w:hAnsi="Arial Narrow" w:cs="Times New Roman"/>
          <w:color w:val="0070C0"/>
          <w:sz w:val="23"/>
          <w:szCs w:val="23"/>
        </w:rPr>
        <w:t xml:space="preserve"> </w:t>
      </w:r>
      <w:r w:rsidR="008F6C13" w:rsidRPr="00D72387">
        <w:rPr>
          <w:rFonts w:ascii="Arial Narrow" w:hAnsi="Arial Narrow" w:cs="Times New Roman"/>
          <w:sz w:val="23"/>
          <w:szCs w:val="23"/>
        </w:rPr>
        <w:t xml:space="preserve">Aujourd’hui, nous ne venons pas avec la volonté de </w:t>
      </w:r>
      <w:r w:rsidR="00242320" w:rsidRPr="00D72387">
        <w:rPr>
          <w:rFonts w:ascii="Arial Narrow" w:hAnsi="Arial Narrow" w:cs="Times New Roman"/>
          <w:sz w:val="23"/>
          <w:szCs w:val="23"/>
        </w:rPr>
        <w:t xml:space="preserve">« refaire le match » et nous souhaitons tous évidemment que ce projet réussisse dans l’intérêt d’EDF, </w:t>
      </w:r>
      <w:r w:rsidR="00604EFC" w:rsidRPr="00D72387">
        <w:rPr>
          <w:rFonts w:ascii="Arial Narrow" w:hAnsi="Arial Narrow" w:cs="Times New Roman"/>
          <w:sz w:val="23"/>
          <w:szCs w:val="23"/>
        </w:rPr>
        <w:t xml:space="preserve">de la filière nucléaire, </w:t>
      </w:r>
      <w:r w:rsidR="00242320" w:rsidRPr="00D72387">
        <w:rPr>
          <w:rFonts w:ascii="Arial Narrow" w:hAnsi="Arial Narrow" w:cs="Times New Roman"/>
          <w:sz w:val="23"/>
          <w:szCs w:val="23"/>
        </w:rPr>
        <w:t>du service public et des salariés.</w:t>
      </w:r>
    </w:p>
    <w:p w14:paraId="7E7E0766" w14:textId="26241F45" w:rsidR="00242320" w:rsidRPr="00D72387" w:rsidRDefault="00242320"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sz w:val="23"/>
          <w:szCs w:val="23"/>
        </w:rPr>
        <w:t xml:space="preserve">Pour autant, </w:t>
      </w:r>
      <w:r w:rsidR="005432D8" w:rsidRPr="00D72387">
        <w:rPr>
          <w:rFonts w:ascii="Arial Narrow" w:hAnsi="Arial Narrow" w:cs="Times New Roman"/>
          <w:sz w:val="23"/>
          <w:szCs w:val="23"/>
        </w:rPr>
        <w:t xml:space="preserve">il est nécessaire que cette réunion d’aujourd’hui soit utile </w:t>
      </w:r>
      <w:r w:rsidRPr="00D72387">
        <w:rPr>
          <w:rFonts w:ascii="Arial Narrow" w:hAnsi="Arial Narrow" w:cs="Times New Roman"/>
          <w:sz w:val="23"/>
          <w:szCs w:val="23"/>
        </w:rPr>
        <w:t xml:space="preserve">et </w:t>
      </w:r>
      <w:r w:rsidR="005432D8" w:rsidRPr="00D72387">
        <w:rPr>
          <w:rFonts w:ascii="Arial Narrow" w:hAnsi="Arial Narrow" w:cs="Times New Roman"/>
          <w:sz w:val="23"/>
          <w:szCs w:val="23"/>
        </w:rPr>
        <w:t>pour cela</w:t>
      </w:r>
      <w:r w:rsidRPr="00D72387">
        <w:rPr>
          <w:rFonts w:ascii="Arial Narrow" w:hAnsi="Arial Narrow" w:cs="Times New Roman"/>
          <w:sz w:val="23"/>
          <w:szCs w:val="23"/>
        </w:rPr>
        <w:t xml:space="preserve">, il nous faut </w:t>
      </w:r>
      <w:r w:rsidR="005432D8" w:rsidRPr="00D72387">
        <w:rPr>
          <w:rFonts w:ascii="Arial Narrow" w:hAnsi="Arial Narrow" w:cs="Times New Roman"/>
          <w:sz w:val="23"/>
          <w:szCs w:val="23"/>
        </w:rPr>
        <w:t xml:space="preserve">donc </w:t>
      </w:r>
      <w:r w:rsidRPr="00D72387">
        <w:rPr>
          <w:rFonts w:ascii="Arial Narrow" w:hAnsi="Arial Narrow" w:cs="Times New Roman"/>
          <w:sz w:val="23"/>
          <w:szCs w:val="23"/>
        </w:rPr>
        <w:t>rapprocher le contenu du rapport d’Escatha</w:t>
      </w:r>
      <w:r w:rsidR="00AF0076">
        <w:rPr>
          <w:rFonts w:ascii="Arial Narrow" w:hAnsi="Arial Narrow" w:cs="Times New Roman"/>
          <w:sz w:val="23"/>
          <w:szCs w:val="23"/>
        </w:rPr>
        <w:t>,</w:t>
      </w:r>
      <w:r w:rsidRPr="00D72387">
        <w:rPr>
          <w:rFonts w:ascii="Arial Narrow" w:hAnsi="Arial Narrow" w:cs="Times New Roman"/>
          <w:sz w:val="23"/>
          <w:szCs w:val="23"/>
        </w:rPr>
        <w:t xml:space="preserve"> aujourd’hui connu</w:t>
      </w:r>
      <w:r w:rsidR="00AF0076">
        <w:rPr>
          <w:rFonts w:ascii="Arial Narrow" w:hAnsi="Arial Narrow" w:cs="Times New Roman"/>
          <w:sz w:val="23"/>
          <w:szCs w:val="23"/>
        </w:rPr>
        <w:t>,</w:t>
      </w:r>
      <w:r w:rsidRPr="00D72387">
        <w:rPr>
          <w:rFonts w:ascii="Arial Narrow" w:hAnsi="Arial Narrow" w:cs="Times New Roman"/>
          <w:sz w:val="23"/>
          <w:szCs w:val="23"/>
        </w:rPr>
        <w:t xml:space="preserve"> avec la synthèse remise</w:t>
      </w:r>
      <w:r w:rsidR="00EC0344">
        <w:rPr>
          <w:rFonts w:ascii="Arial Narrow" w:hAnsi="Arial Narrow" w:cs="Times New Roman"/>
          <w:sz w:val="23"/>
          <w:szCs w:val="23"/>
        </w:rPr>
        <w:t>,</w:t>
      </w:r>
      <w:r w:rsidRPr="00D72387">
        <w:rPr>
          <w:rFonts w:ascii="Arial Narrow" w:hAnsi="Arial Narrow" w:cs="Times New Roman"/>
          <w:sz w:val="23"/>
          <w:szCs w:val="23"/>
        </w:rPr>
        <w:t xml:space="preserve"> il y a deux ans</w:t>
      </w:r>
      <w:r w:rsidR="00AF0076">
        <w:rPr>
          <w:rFonts w:ascii="Arial Narrow" w:hAnsi="Arial Narrow" w:cs="Times New Roman"/>
          <w:sz w:val="23"/>
          <w:szCs w:val="23"/>
        </w:rPr>
        <w:t>,</w:t>
      </w:r>
      <w:r w:rsidRPr="00D72387">
        <w:rPr>
          <w:rFonts w:ascii="Arial Narrow" w:hAnsi="Arial Narrow" w:cs="Times New Roman"/>
          <w:sz w:val="23"/>
          <w:szCs w:val="23"/>
        </w:rPr>
        <w:t xml:space="preserve"> et </w:t>
      </w:r>
      <w:r w:rsidR="007F3BE4" w:rsidRPr="00D72387">
        <w:rPr>
          <w:rFonts w:ascii="Arial Narrow" w:hAnsi="Arial Narrow" w:cs="Times New Roman"/>
          <w:sz w:val="23"/>
          <w:szCs w:val="23"/>
        </w:rPr>
        <w:t>en tirer les leçons nécessaires pour l’avenir.</w:t>
      </w:r>
    </w:p>
    <w:p w14:paraId="43EED708" w14:textId="52D0624C" w:rsidR="00242320" w:rsidRPr="00D72387" w:rsidRDefault="00242320"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sz w:val="23"/>
          <w:szCs w:val="23"/>
        </w:rPr>
        <w:t>Quand on rapproche le résumé et le rapport, on e</w:t>
      </w:r>
      <w:r w:rsidR="007F3BE4" w:rsidRPr="00D72387">
        <w:rPr>
          <w:rFonts w:ascii="Arial Narrow" w:hAnsi="Arial Narrow" w:cs="Times New Roman"/>
          <w:sz w:val="23"/>
          <w:szCs w:val="23"/>
        </w:rPr>
        <w:t xml:space="preserve">st en effet frappé par plusieurs </w:t>
      </w:r>
      <w:r w:rsidRPr="00D72387">
        <w:rPr>
          <w:rFonts w:ascii="Arial Narrow" w:hAnsi="Arial Narrow" w:cs="Times New Roman"/>
          <w:sz w:val="23"/>
          <w:szCs w:val="23"/>
        </w:rPr>
        <w:t xml:space="preserve">manques </w:t>
      </w:r>
      <w:r w:rsidR="007F3BE4" w:rsidRPr="00D72387">
        <w:rPr>
          <w:rFonts w:ascii="Arial Narrow" w:hAnsi="Arial Narrow" w:cs="Times New Roman"/>
          <w:sz w:val="23"/>
          <w:szCs w:val="23"/>
        </w:rPr>
        <w:t xml:space="preserve">importants </w:t>
      </w:r>
      <w:r w:rsidRPr="00D72387">
        <w:rPr>
          <w:rFonts w:ascii="Arial Narrow" w:hAnsi="Arial Narrow" w:cs="Times New Roman"/>
          <w:sz w:val="23"/>
          <w:szCs w:val="23"/>
        </w:rPr>
        <w:t>qui auraient été utiles pour éclairer le débat</w:t>
      </w:r>
      <w:r w:rsidR="00EC0344">
        <w:rPr>
          <w:rFonts w:ascii="Arial Narrow" w:hAnsi="Arial Narrow" w:cs="Times New Roman"/>
          <w:sz w:val="23"/>
          <w:szCs w:val="23"/>
        </w:rPr>
        <w:t>,</w:t>
      </w:r>
      <w:r w:rsidR="008D0339" w:rsidRPr="00D72387">
        <w:rPr>
          <w:rFonts w:ascii="Arial Narrow" w:hAnsi="Arial Narrow" w:cs="Times New Roman"/>
          <w:sz w:val="23"/>
          <w:szCs w:val="23"/>
        </w:rPr>
        <w:t xml:space="preserve"> et qui ne sont pas mineurs</w:t>
      </w:r>
      <w:r w:rsidRPr="00D72387">
        <w:rPr>
          <w:rFonts w:ascii="Arial Narrow" w:hAnsi="Arial Narrow" w:cs="Times New Roman"/>
          <w:sz w:val="23"/>
          <w:szCs w:val="23"/>
        </w:rPr>
        <w:t>.</w:t>
      </w:r>
      <w:r w:rsidR="007E6D78" w:rsidRPr="00D72387">
        <w:rPr>
          <w:rFonts w:ascii="Arial Narrow" w:hAnsi="Arial Narrow" w:cs="Times New Roman"/>
          <w:sz w:val="23"/>
          <w:szCs w:val="23"/>
        </w:rPr>
        <w:t xml:space="preserve"> </w:t>
      </w:r>
    </w:p>
    <w:p w14:paraId="206CAC9D" w14:textId="53C0164D" w:rsidR="00C1529A" w:rsidRPr="003801F8" w:rsidRDefault="00050B6B" w:rsidP="003801F8">
      <w:pPr>
        <w:pStyle w:val="Paragraphedeliste"/>
        <w:numPr>
          <w:ilvl w:val="0"/>
          <w:numId w:val="2"/>
        </w:numPr>
        <w:spacing w:before="120" w:after="0" w:line="240" w:lineRule="auto"/>
        <w:ind w:left="0" w:hanging="11"/>
        <w:contextualSpacing w:val="0"/>
        <w:jc w:val="both"/>
        <w:rPr>
          <w:rFonts w:ascii="Arial Narrow" w:hAnsi="Arial Narrow" w:cs="Times New Roman"/>
          <w:sz w:val="23"/>
          <w:szCs w:val="23"/>
        </w:rPr>
      </w:pPr>
      <w:r w:rsidRPr="00D72387">
        <w:rPr>
          <w:rFonts w:ascii="Arial Narrow" w:hAnsi="Arial Narrow" w:cs="Times New Roman"/>
          <w:sz w:val="23"/>
          <w:szCs w:val="23"/>
        </w:rPr>
        <w:t>C’est ainsi, qu’à rebours des affirmations si souvent répétées de la Direction, le rapport souligne</w:t>
      </w:r>
      <w:r w:rsidR="00AF0076">
        <w:rPr>
          <w:rFonts w:ascii="Arial Narrow" w:hAnsi="Arial Narrow" w:cs="Times New Roman"/>
          <w:sz w:val="23"/>
          <w:szCs w:val="23"/>
        </w:rPr>
        <w:t> : « </w:t>
      </w:r>
      <w:r w:rsidRPr="00D72387">
        <w:rPr>
          <w:rFonts w:ascii="Arial Narrow" w:hAnsi="Arial Narrow" w:cs="Times New Roman"/>
          <w:sz w:val="23"/>
          <w:szCs w:val="23"/>
        </w:rPr>
        <w:t>alors que la volonté initiale du projet était de dupliquer au maximum le detail</w:t>
      </w:r>
      <w:r w:rsidR="00260724">
        <w:rPr>
          <w:rFonts w:ascii="Arial Narrow" w:hAnsi="Arial Narrow" w:cs="Times New Roman"/>
          <w:sz w:val="23"/>
          <w:szCs w:val="23"/>
        </w:rPr>
        <w:t>ed</w:t>
      </w:r>
      <w:r w:rsidRPr="00D72387">
        <w:rPr>
          <w:rFonts w:ascii="Arial Narrow" w:hAnsi="Arial Narrow" w:cs="Times New Roman"/>
          <w:sz w:val="23"/>
          <w:szCs w:val="23"/>
        </w:rPr>
        <w:t xml:space="preserve"> design de FA</w:t>
      </w:r>
      <w:r w:rsidR="008402EF" w:rsidRPr="00D72387">
        <w:rPr>
          <w:rFonts w:ascii="Arial Narrow" w:hAnsi="Arial Narrow" w:cs="Times New Roman"/>
          <w:sz w:val="23"/>
          <w:szCs w:val="23"/>
        </w:rPr>
        <w:t>3</w:t>
      </w:r>
      <w:r w:rsidRPr="00D72387">
        <w:rPr>
          <w:rFonts w:ascii="Arial Narrow" w:hAnsi="Arial Narrow" w:cs="Times New Roman"/>
          <w:sz w:val="23"/>
          <w:szCs w:val="23"/>
        </w:rPr>
        <w:t xml:space="preserve">, le </w:t>
      </w:r>
      <w:r w:rsidR="0095609C">
        <w:rPr>
          <w:rFonts w:ascii="Arial Narrow" w:hAnsi="Arial Narrow" w:cs="Times New Roman"/>
          <w:sz w:val="23"/>
          <w:szCs w:val="23"/>
        </w:rPr>
        <w:t>B</w:t>
      </w:r>
      <w:r w:rsidR="00037835">
        <w:rPr>
          <w:rFonts w:ascii="Arial Narrow" w:hAnsi="Arial Narrow" w:cs="Times New Roman"/>
          <w:sz w:val="23"/>
          <w:szCs w:val="23"/>
        </w:rPr>
        <w:t>asic</w:t>
      </w:r>
      <w:r w:rsidR="0095609C">
        <w:rPr>
          <w:rFonts w:ascii="Arial Narrow" w:hAnsi="Arial Narrow" w:cs="Times New Roman"/>
          <w:sz w:val="23"/>
          <w:szCs w:val="23"/>
        </w:rPr>
        <w:t xml:space="preserve"> D</w:t>
      </w:r>
      <w:r w:rsidRPr="00D72387">
        <w:rPr>
          <w:rFonts w:ascii="Arial Narrow" w:hAnsi="Arial Narrow" w:cs="Times New Roman"/>
          <w:sz w:val="23"/>
          <w:szCs w:val="23"/>
        </w:rPr>
        <w:t xml:space="preserve">esign de </w:t>
      </w:r>
      <w:r w:rsidR="00AF0076">
        <w:rPr>
          <w:rFonts w:ascii="Arial Narrow" w:hAnsi="Arial Narrow" w:cs="Times New Roman"/>
          <w:sz w:val="23"/>
          <w:szCs w:val="23"/>
        </w:rPr>
        <w:t>l’</w:t>
      </w:r>
      <w:r w:rsidRPr="00D72387">
        <w:rPr>
          <w:rFonts w:ascii="Arial Narrow" w:hAnsi="Arial Narrow" w:cs="Times New Roman"/>
          <w:sz w:val="23"/>
          <w:szCs w:val="23"/>
        </w:rPr>
        <w:t xml:space="preserve">UK EPR a conduit à reprendre significativement certaines options » ajoutant que « de ce fait, </w:t>
      </w:r>
      <w:r w:rsidRPr="00D72387">
        <w:rPr>
          <w:rFonts w:ascii="Arial Narrow" w:hAnsi="Arial Narrow" w:cs="Times New Roman"/>
          <w:sz w:val="23"/>
          <w:szCs w:val="23"/>
          <w:u w:val="single"/>
        </w:rPr>
        <w:t>HPC peut à nouveau être considéré comme une tête de série, avec les risques associés au déroulement de la phase de detailed design</w:t>
      </w:r>
      <w:r w:rsidRPr="00D72387">
        <w:rPr>
          <w:rFonts w:ascii="Arial Narrow" w:hAnsi="Arial Narrow" w:cs="Times New Roman"/>
          <w:sz w:val="23"/>
          <w:szCs w:val="23"/>
        </w:rPr>
        <w:t> ». Avec cette phrase, tout était dit…</w:t>
      </w:r>
    </w:p>
    <w:p w14:paraId="71971AE7" w14:textId="191C75D9" w:rsidR="00E216CF" w:rsidRPr="003801F8" w:rsidRDefault="008402EF" w:rsidP="003801F8">
      <w:pPr>
        <w:pStyle w:val="Paragraphedeliste"/>
        <w:numPr>
          <w:ilvl w:val="0"/>
          <w:numId w:val="2"/>
        </w:numPr>
        <w:spacing w:before="120" w:after="0" w:line="240" w:lineRule="auto"/>
        <w:ind w:left="0" w:hanging="11"/>
        <w:contextualSpacing w:val="0"/>
        <w:jc w:val="both"/>
        <w:rPr>
          <w:rFonts w:ascii="Arial Narrow" w:hAnsi="Arial Narrow" w:cs="Times New Roman"/>
          <w:sz w:val="23"/>
          <w:szCs w:val="23"/>
        </w:rPr>
      </w:pPr>
      <w:r w:rsidRPr="00D72387">
        <w:rPr>
          <w:rFonts w:ascii="Arial Narrow" w:hAnsi="Arial Narrow" w:cs="Times New Roman"/>
          <w:sz w:val="23"/>
          <w:szCs w:val="23"/>
        </w:rPr>
        <w:t>De plus</w:t>
      </w:r>
      <w:r w:rsidR="006A134D" w:rsidRPr="00D72387">
        <w:rPr>
          <w:rFonts w:ascii="Arial Narrow" w:hAnsi="Arial Narrow" w:cs="Times New Roman"/>
          <w:sz w:val="23"/>
          <w:szCs w:val="23"/>
        </w:rPr>
        <w:t xml:space="preserve">, </w:t>
      </w:r>
      <w:r w:rsidRPr="00D72387">
        <w:rPr>
          <w:rFonts w:ascii="Arial Narrow" w:hAnsi="Arial Narrow" w:cs="Times New Roman"/>
          <w:sz w:val="23"/>
          <w:szCs w:val="23"/>
        </w:rPr>
        <w:t>le niveau de maturité du Generic</w:t>
      </w:r>
      <w:r w:rsidR="006A134D" w:rsidRPr="00D72387">
        <w:rPr>
          <w:rFonts w:ascii="Arial Narrow" w:hAnsi="Arial Narrow" w:cs="Times New Roman"/>
          <w:sz w:val="23"/>
          <w:szCs w:val="23"/>
        </w:rPr>
        <w:t xml:space="preserve"> D</w:t>
      </w:r>
      <w:r w:rsidR="00EE7A5C" w:rsidRPr="00D72387">
        <w:rPr>
          <w:rFonts w:ascii="Arial Narrow" w:hAnsi="Arial Narrow" w:cs="Times New Roman"/>
          <w:sz w:val="23"/>
          <w:szCs w:val="23"/>
        </w:rPr>
        <w:t xml:space="preserve">esign </w:t>
      </w:r>
      <w:r w:rsidRPr="00D72387">
        <w:rPr>
          <w:rFonts w:ascii="Arial Narrow" w:hAnsi="Arial Narrow" w:cs="Times New Roman"/>
          <w:sz w:val="23"/>
          <w:szCs w:val="23"/>
        </w:rPr>
        <w:t>pose question</w:t>
      </w:r>
      <w:r w:rsidR="00EE7A5C" w:rsidRPr="00D72387">
        <w:rPr>
          <w:rFonts w:ascii="Arial Narrow" w:hAnsi="Arial Narrow" w:cs="Times New Roman"/>
          <w:sz w:val="23"/>
          <w:szCs w:val="23"/>
        </w:rPr>
        <w:t xml:space="preserve"> : « Les points à solder avec l’ONR (à commencer par les Assesments Findings) sont critiques pour le projet » « Leur traitement a été tardif » «Il subsiste un risque de devoir intégrer des modifications au-delà de la configuration RC2 »  « En conclusion… </w:t>
      </w:r>
      <w:r w:rsidR="00EE7A5C" w:rsidRPr="00D72387">
        <w:rPr>
          <w:rFonts w:ascii="Arial Narrow" w:hAnsi="Arial Narrow" w:cs="Times New Roman"/>
          <w:sz w:val="23"/>
          <w:szCs w:val="23"/>
        </w:rPr>
        <w:lastRenderedPageBreak/>
        <w:t>tous les risques ne sont pas levés, les impacts plannings et coûts peuvent être importants, et on ne peut pas exclure que des risques nouveaux apparaissent »</w:t>
      </w:r>
    </w:p>
    <w:p w14:paraId="16793CA7" w14:textId="367F9364" w:rsidR="00050B6B" w:rsidRPr="00D72387" w:rsidRDefault="00107CFB" w:rsidP="00D72387">
      <w:pPr>
        <w:pStyle w:val="Paragraphedeliste"/>
        <w:numPr>
          <w:ilvl w:val="0"/>
          <w:numId w:val="2"/>
        </w:numPr>
        <w:spacing w:before="120" w:after="0" w:line="240" w:lineRule="auto"/>
        <w:ind w:left="0" w:hanging="11"/>
        <w:contextualSpacing w:val="0"/>
        <w:jc w:val="both"/>
        <w:rPr>
          <w:rFonts w:ascii="Arial Narrow" w:hAnsi="Arial Narrow" w:cs="Times New Roman"/>
          <w:sz w:val="23"/>
          <w:szCs w:val="23"/>
        </w:rPr>
      </w:pPr>
      <w:r w:rsidRPr="00D72387">
        <w:rPr>
          <w:rFonts w:ascii="Arial Narrow" w:hAnsi="Arial Narrow" w:cs="Times New Roman"/>
          <w:sz w:val="23"/>
          <w:szCs w:val="23"/>
        </w:rPr>
        <w:t>De même, on peut n</w:t>
      </w:r>
      <w:r w:rsidR="00EC0344">
        <w:rPr>
          <w:rFonts w:ascii="Arial Narrow" w:hAnsi="Arial Narrow" w:cs="Times New Roman"/>
          <w:sz w:val="23"/>
          <w:szCs w:val="23"/>
        </w:rPr>
        <w:t>oter que le rapport souligne :</w:t>
      </w:r>
      <w:r w:rsidRPr="00D72387">
        <w:rPr>
          <w:rFonts w:ascii="Arial Narrow" w:hAnsi="Arial Narrow" w:cs="Times New Roman"/>
          <w:sz w:val="23"/>
          <w:szCs w:val="23"/>
        </w:rPr>
        <w:t xml:space="preserve"> «</w:t>
      </w:r>
      <w:r w:rsidRPr="00D72387">
        <w:rPr>
          <w:rFonts w:ascii="Arial Narrow" w:hAnsi="Arial Narrow" w:cs="Times New Roman"/>
          <w:sz w:val="23"/>
          <w:szCs w:val="23"/>
          <w:u w:val="single"/>
        </w:rPr>
        <w:t> le manque d’efficacité de l’organisation et de la gouvernance du projet</w:t>
      </w:r>
      <w:r w:rsidRPr="00D72387">
        <w:rPr>
          <w:rFonts w:ascii="Arial Narrow" w:hAnsi="Arial Narrow" w:cs="Times New Roman"/>
          <w:sz w:val="23"/>
          <w:szCs w:val="23"/>
        </w:rPr>
        <w:t>, donc de la maîtrise des risques, constitue un amplificateur de tous les risques ».</w:t>
      </w:r>
      <w:r w:rsidR="000A4CB1" w:rsidRPr="00D72387">
        <w:rPr>
          <w:rFonts w:ascii="Arial Narrow" w:hAnsi="Arial Narrow" w:cs="Times New Roman"/>
          <w:sz w:val="23"/>
          <w:szCs w:val="23"/>
        </w:rPr>
        <w:t xml:space="preserve"> </w:t>
      </w:r>
      <w:r w:rsidR="006A134D" w:rsidRPr="00D72387">
        <w:rPr>
          <w:rFonts w:ascii="Arial Narrow" w:hAnsi="Arial Narrow" w:cs="Times New Roman"/>
          <w:sz w:val="23"/>
          <w:szCs w:val="23"/>
        </w:rPr>
        <w:t>« L</w:t>
      </w:r>
      <w:r w:rsidR="00C73BAF" w:rsidRPr="00D72387">
        <w:rPr>
          <w:rFonts w:ascii="Arial Narrow" w:hAnsi="Arial Narrow" w:cs="Times New Roman"/>
          <w:sz w:val="23"/>
          <w:szCs w:val="23"/>
        </w:rPr>
        <w:t>a capacité à tenir le planning et les coûts annoncé à la FID</w:t>
      </w:r>
      <w:r w:rsidR="00AF0076">
        <w:rPr>
          <w:rFonts w:ascii="Arial Narrow" w:hAnsi="Arial Narrow" w:cs="Times New Roman"/>
          <w:sz w:val="23"/>
          <w:szCs w:val="23"/>
        </w:rPr>
        <w:t>,</w:t>
      </w:r>
      <w:r w:rsidR="00C73BAF" w:rsidRPr="00D72387">
        <w:rPr>
          <w:rFonts w:ascii="Arial Narrow" w:hAnsi="Arial Narrow" w:cs="Times New Roman"/>
          <w:sz w:val="23"/>
          <w:szCs w:val="23"/>
        </w:rPr>
        <w:t xml:space="preserve"> ainsi que tout au long du projet</w:t>
      </w:r>
      <w:r w:rsidR="00EC0344">
        <w:rPr>
          <w:rFonts w:ascii="Arial Narrow" w:hAnsi="Arial Narrow" w:cs="Times New Roman"/>
          <w:sz w:val="23"/>
          <w:szCs w:val="23"/>
        </w:rPr>
        <w:t>,</w:t>
      </w:r>
      <w:r w:rsidR="00C73BAF" w:rsidRPr="00D72387">
        <w:rPr>
          <w:rFonts w:ascii="Arial Narrow" w:hAnsi="Arial Narrow" w:cs="Times New Roman"/>
          <w:sz w:val="23"/>
          <w:szCs w:val="23"/>
        </w:rPr>
        <w:t xml:space="preserve"> apparaît clairement comme un risque fort pour la crédibilité du groupe dans son ensemble et par conséquent pour sa signature financière ».</w:t>
      </w:r>
      <w:r w:rsidR="00C73BAF" w:rsidRPr="00D72387">
        <w:rPr>
          <w:rFonts w:ascii="Arial Narrow" w:eastAsia="Arial" w:hAnsi="Arial Narrow" w:cs="Arial"/>
          <w:sz w:val="23"/>
          <w:szCs w:val="23"/>
        </w:rPr>
        <w:t xml:space="preserve"> </w:t>
      </w:r>
      <w:r w:rsidR="000A4CB1" w:rsidRPr="00D72387">
        <w:rPr>
          <w:rFonts w:ascii="Arial Narrow" w:hAnsi="Arial Narrow" w:cs="Times New Roman"/>
          <w:sz w:val="23"/>
          <w:szCs w:val="23"/>
        </w:rPr>
        <w:t xml:space="preserve">On ne trouve pas non plus </w:t>
      </w:r>
      <w:r w:rsidR="0053391F" w:rsidRPr="00D72387">
        <w:rPr>
          <w:rFonts w:ascii="Arial Narrow" w:hAnsi="Arial Narrow" w:cs="Times New Roman"/>
          <w:sz w:val="23"/>
          <w:szCs w:val="23"/>
        </w:rPr>
        <w:t xml:space="preserve">une appréciation aussi forte </w:t>
      </w:r>
      <w:r w:rsidR="000A4CB1" w:rsidRPr="00D72387">
        <w:rPr>
          <w:rFonts w:ascii="Arial Narrow" w:hAnsi="Arial Narrow" w:cs="Times New Roman"/>
          <w:sz w:val="23"/>
          <w:szCs w:val="23"/>
        </w:rPr>
        <w:t xml:space="preserve">et précise </w:t>
      </w:r>
      <w:r w:rsidR="0053391F" w:rsidRPr="00D72387">
        <w:rPr>
          <w:rFonts w:ascii="Arial Narrow" w:hAnsi="Arial Narrow" w:cs="Times New Roman"/>
          <w:sz w:val="23"/>
          <w:szCs w:val="23"/>
        </w:rPr>
        <w:t>dans la synthèse remise au CCE.</w:t>
      </w:r>
    </w:p>
    <w:p w14:paraId="44188864" w14:textId="5DB778D7" w:rsidR="00242320" w:rsidRPr="00D72387" w:rsidRDefault="000A4CB1"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sz w:val="23"/>
          <w:szCs w:val="23"/>
        </w:rPr>
        <w:t>Tout cela est regrettable et montre que la consultation du CCE n’a pas été complète au sens de la loi comme l’a indiqué à juste titre la Cour d’Appel de Paris.</w:t>
      </w:r>
    </w:p>
    <w:p w14:paraId="22FA99A6" w14:textId="12875985" w:rsidR="008D0339" w:rsidRPr="00D72387" w:rsidRDefault="00E216CF"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sz w:val="23"/>
          <w:szCs w:val="23"/>
        </w:rPr>
        <w:t>Si on ajoute le fait que plusieurs administrateurs salariés avaient fait juger parallèlement, dans un jugement non frappé d’appel, que trois administrateurs étaient en conflit d’intérêt au moment d’un vote qui avait abouti à 10 voix pour et 7 contre, cela fait beaucoup…</w:t>
      </w:r>
    </w:p>
    <w:p w14:paraId="2543AA85" w14:textId="77777777" w:rsidR="00524523" w:rsidRPr="00D72387" w:rsidRDefault="00524523" w:rsidP="00D72387">
      <w:pPr>
        <w:spacing w:before="120" w:after="0" w:line="240" w:lineRule="auto"/>
        <w:jc w:val="both"/>
        <w:rPr>
          <w:rFonts w:ascii="Arial Narrow" w:hAnsi="Arial Narrow" w:cs="Times New Roman"/>
          <w:sz w:val="23"/>
          <w:szCs w:val="23"/>
        </w:rPr>
      </w:pPr>
    </w:p>
    <w:p w14:paraId="2BCCF021" w14:textId="77777777" w:rsidR="00D72387" w:rsidRDefault="00DB69B6" w:rsidP="00D72387">
      <w:pPr>
        <w:pStyle w:val="Paragraphedeliste"/>
        <w:spacing w:before="120" w:after="0" w:line="240" w:lineRule="auto"/>
        <w:ind w:left="0"/>
        <w:contextualSpacing w:val="0"/>
        <w:jc w:val="both"/>
        <w:rPr>
          <w:rFonts w:ascii="Arial Narrow" w:hAnsi="Arial Narrow" w:cs="Times New Roman"/>
          <w:sz w:val="23"/>
          <w:szCs w:val="23"/>
        </w:rPr>
      </w:pPr>
      <w:r w:rsidRPr="00D72387">
        <w:rPr>
          <w:rFonts w:ascii="Arial Narrow" w:hAnsi="Arial Narrow" w:cs="Times New Roman"/>
          <w:b/>
          <w:color w:val="0070C0"/>
          <w:sz w:val="23"/>
          <w:szCs w:val="23"/>
        </w:rPr>
        <w:t>4</w:t>
      </w:r>
      <w:r w:rsidR="002F1DF8" w:rsidRPr="00D72387">
        <w:rPr>
          <w:rFonts w:ascii="Arial Narrow" w:hAnsi="Arial Narrow" w:cs="Times New Roman"/>
          <w:b/>
          <w:color w:val="0070C0"/>
          <w:sz w:val="23"/>
          <w:szCs w:val="23"/>
        </w:rPr>
        <w:t>.</w:t>
      </w:r>
      <w:r w:rsidRPr="00D72387">
        <w:rPr>
          <w:rFonts w:ascii="Arial Narrow" w:hAnsi="Arial Narrow" w:cs="Times New Roman"/>
          <w:color w:val="0070C0"/>
          <w:sz w:val="23"/>
          <w:szCs w:val="23"/>
        </w:rPr>
        <w:t xml:space="preserve"> </w:t>
      </w:r>
      <w:r w:rsidR="00E216CF" w:rsidRPr="00D72387">
        <w:rPr>
          <w:rFonts w:ascii="Arial Narrow" w:hAnsi="Arial Narrow" w:cs="Times New Roman"/>
          <w:sz w:val="23"/>
          <w:szCs w:val="23"/>
        </w:rPr>
        <w:t xml:space="preserve">C’est pourquoi, nous sommes d’autant plus fondés </w:t>
      </w:r>
      <w:r w:rsidR="00E735F7" w:rsidRPr="00D72387">
        <w:rPr>
          <w:rFonts w:ascii="Arial Narrow" w:hAnsi="Arial Narrow" w:cs="Times New Roman"/>
          <w:sz w:val="23"/>
          <w:szCs w:val="23"/>
        </w:rPr>
        <w:t xml:space="preserve">à obtenir maintenant des réponses claires en demandant à l’entreprise de mettre maintenant réellement tout sur la table, sans rien </w:t>
      </w:r>
      <w:r w:rsidR="00B944E9" w:rsidRPr="00D72387">
        <w:rPr>
          <w:rFonts w:ascii="Arial Narrow" w:hAnsi="Arial Narrow" w:cs="Times New Roman"/>
          <w:sz w:val="23"/>
          <w:szCs w:val="23"/>
        </w:rPr>
        <w:t>omettre</w:t>
      </w:r>
      <w:r w:rsidR="00E735F7" w:rsidRPr="00D72387">
        <w:rPr>
          <w:rFonts w:ascii="Arial Narrow" w:hAnsi="Arial Narrow" w:cs="Times New Roman"/>
          <w:sz w:val="23"/>
          <w:szCs w:val="23"/>
        </w:rPr>
        <w:t>.</w:t>
      </w:r>
      <w:r w:rsidR="0052638F" w:rsidRPr="00D72387">
        <w:rPr>
          <w:rFonts w:ascii="Arial Narrow" w:hAnsi="Arial Narrow" w:cs="Times New Roman"/>
          <w:sz w:val="23"/>
          <w:szCs w:val="23"/>
        </w:rPr>
        <w:t xml:space="preserve"> </w:t>
      </w:r>
    </w:p>
    <w:p w14:paraId="640B18BA" w14:textId="6F0FF033" w:rsidR="0052638F" w:rsidRDefault="004B32B8" w:rsidP="00D72387">
      <w:pPr>
        <w:pStyle w:val="Paragraphedeliste"/>
        <w:spacing w:before="120" w:after="0" w:line="240" w:lineRule="auto"/>
        <w:ind w:left="0"/>
        <w:contextualSpacing w:val="0"/>
        <w:jc w:val="both"/>
        <w:rPr>
          <w:rFonts w:ascii="Arial Narrow" w:hAnsi="Arial Narrow" w:cs="Times New Roman"/>
          <w:sz w:val="23"/>
          <w:szCs w:val="23"/>
        </w:rPr>
      </w:pPr>
      <w:r w:rsidRPr="00D72387">
        <w:rPr>
          <w:rFonts w:ascii="Arial Narrow" w:hAnsi="Arial Narrow" w:cs="Times New Roman"/>
          <w:sz w:val="23"/>
          <w:szCs w:val="23"/>
        </w:rPr>
        <w:t xml:space="preserve">Nos questions sont </w:t>
      </w:r>
      <w:r w:rsidR="00B944E9" w:rsidRPr="00D72387">
        <w:rPr>
          <w:rFonts w:ascii="Arial Narrow" w:hAnsi="Arial Narrow" w:cs="Times New Roman"/>
          <w:sz w:val="23"/>
          <w:szCs w:val="23"/>
        </w:rPr>
        <w:t xml:space="preserve">donc </w:t>
      </w:r>
      <w:r w:rsidRPr="00D72387">
        <w:rPr>
          <w:rFonts w:ascii="Arial Narrow" w:hAnsi="Arial Narrow" w:cs="Times New Roman"/>
          <w:sz w:val="23"/>
          <w:szCs w:val="23"/>
        </w:rPr>
        <w:t>les suivantes :</w:t>
      </w:r>
    </w:p>
    <w:p w14:paraId="517EB52F" w14:textId="77777777" w:rsidR="00B904E2" w:rsidRPr="00D72387" w:rsidRDefault="00B904E2" w:rsidP="00D72387">
      <w:pPr>
        <w:pStyle w:val="Paragraphedeliste"/>
        <w:spacing w:before="120" w:after="0" w:line="240" w:lineRule="auto"/>
        <w:ind w:left="0"/>
        <w:contextualSpacing w:val="0"/>
        <w:jc w:val="both"/>
        <w:rPr>
          <w:rFonts w:ascii="Arial Narrow" w:hAnsi="Arial Narrow" w:cs="Times New Roman"/>
          <w:sz w:val="23"/>
          <w:szCs w:val="23"/>
        </w:rPr>
      </w:pPr>
    </w:p>
    <w:p w14:paraId="35DF4FC9" w14:textId="02811B0D" w:rsidR="00487CF3" w:rsidRPr="00D72387" w:rsidRDefault="0095609C" w:rsidP="00D72387">
      <w:pPr>
        <w:pStyle w:val="Paragraphedeliste"/>
        <w:numPr>
          <w:ilvl w:val="0"/>
          <w:numId w:val="2"/>
        </w:numPr>
        <w:snapToGrid w:val="0"/>
        <w:spacing w:before="120" w:after="0" w:line="240" w:lineRule="auto"/>
        <w:ind w:left="284" w:hanging="284"/>
        <w:contextualSpacing w:val="0"/>
        <w:jc w:val="both"/>
        <w:rPr>
          <w:rFonts w:ascii="Arial Narrow" w:hAnsi="Arial Narrow" w:cs="Times New Roman"/>
          <w:b/>
          <w:sz w:val="23"/>
          <w:szCs w:val="23"/>
        </w:rPr>
      </w:pPr>
      <w:r>
        <w:rPr>
          <w:rFonts w:ascii="Arial Narrow" w:hAnsi="Arial Narrow" w:cs="Times New Roman"/>
          <w:b/>
          <w:sz w:val="23"/>
          <w:szCs w:val="23"/>
        </w:rPr>
        <w:t>S’agissant du Basic</w:t>
      </w:r>
      <w:r w:rsidR="00487CF3" w:rsidRPr="00D72387">
        <w:rPr>
          <w:rFonts w:ascii="Arial Narrow" w:hAnsi="Arial Narrow" w:cs="Times New Roman"/>
          <w:b/>
          <w:sz w:val="23"/>
          <w:szCs w:val="23"/>
        </w:rPr>
        <w:t xml:space="preserve"> Design :</w:t>
      </w:r>
    </w:p>
    <w:p w14:paraId="5304AAA9" w14:textId="77777777" w:rsidR="00487CF3" w:rsidRPr="00D72387" w:rsidRDefault="00487CF3" w:rsidP="00D72387">
      <w:pPr>
        <w:snapToGrid w:val="0"/>
        <w:spacing w:before="120" w:after="0" w:line="240" w:lineRule="auto"/>
        <w:ind w:right="720"/>
        <w:rPr>
          <w:rFonts w:ascii="Arial Narrow" w:hAnsi="Arial Narrow"/>
          <w:sz w:val="23"/>
          <w:szCs w:val="23"/>
        </w:rPr>
      </w:pPr>
      <w:r w:rsidRPr="00D72387">
        <w:rPr>
          <w:rFonts w:ascii="Arial Narrow" w:hAnsi="Arial Narrow"/>
          <w:sz w:val="23"/>
          <w:szCs w:val="23"/>
        </w:rPr>
        <w:t>Sachant que :</w:t>
      </w:r>
    </w:p>
    <w:p w14:paraId="7513EAA9" w14:textId="10965469" w:rsidR="00487CF3" w:rsidRPr="00D72387" w:rsidRDefault="00487CF3" w:rsidP="00D72387">
      <w:pPr>
        <w:snapToGrid w:val="0"/>
        <w:spacing w:before="120" w:after="0" w:line="240" w:lineRule="auto"/>
        <w:ind w:right="720"/>
        <w:rPr>
          <w:rFonts w:ascii="Arial Narrow" w:hAnsi="Arial Narrow"/>
          <w:sz w:val="23"/>
          <w:szCs w:val="23"/>
        </w:rPr>
      </w:pPr>
      <w:r w:rsidRPr="00D72387">
        <w:rPr>
          <w:rFonts w:ascii="Arial Narrow" w:hAnsi="Arial Narrow"/>
          <w:sz w:val="23"/>
          <w:szCs w:val="23"/>
        </w:rPr>
        <w:t xml:space="preserve">- En 2012 : EDF et Areva ont obtenu la DAC </w:t>
      </w:r>
      <w:r w:rsidR="00EC0344">
        <w:rPr>
          <w:rFonts w:ascii="Arial Narrow" w:hAnsi="Arial Narrow"/>
          <w:sz w:val="23"/>
          <w:szCs w:val="23"/>
        </w:rPr>
        <w:t xml:space="preserve">conditionnelle </w:t>
      </w:r>
      <w:r w:rsidRPr="00D72387">
        <w:rPr>
          <w:rFonts w:ascii="Arial Narrow" w:hAnsi="Arial Narrow"/>
          <w:sz w:val="23"/>
          <w:szCs w:val="23"/>
        </w:rPr>
        <w:t xml:space="preserve">du Generic Design </w:t>
      </w:r>
      <w:r w:rsidRPr="00D72387">
        <w:rPr>
          <w:rFonts w:ascii="Arial Narrow" w:eastAsia="Arial" w:hAnsi="Arial Narrow" w:cs="Arial"/>
          <w:sz w:val="23"/>
          <w:szCs w:val="23"/>
          <w:lang w:bidi="ar"/>
        </w:rPr>
        <w:t xml:space="preserve">de l’UK EPR </w:t>
      </w:r>
      <w:r w:rsidRPr="00D72387">
        <w:rPr>
          <w:rFonts w:ascii="Arial Narrow" w:hAnsi="Arial Narrow"/>
          <w:sz w:val="23"/>
          <w:szCs w:val="23"/>
        </w:rPr>
        <w:t xml:space="preserve">à l’issue de 4 ans </w:t>
      </w:r>
      <w:r w:rsidR="001B0B3F" w:rsidRPr="00D72387">
        <w:rPr>
          <w:rFonts w:ascii="Arial Narrow" w:eastAsia="Arial" w:hAnsi="Arial Narrow" w:cs="Arial"/>
          <w:sz w:val="23"/>
          <w:szCs w:val="23"/>
          <w:lang w:bidi="ar"/>
        </w:rPr>
        <w:t>1/2</w:t>
      </w:r>
      <w:r w:rsidRPr="00D72387">
        <w:rPr>
          <w:rFonts w:ascii="Arial Narrow" w:eastAsia="Arial" w:hAnsi="Arial Narrow" w:cs="Arial"/>
          <w:sz w:val="23"/>
          <w:szCs w:val="23"/>
          <w:lang w:bidi="ar"/>
        </w:rPr>
        <w:t xml:space="preserve"> </w:t>
      </w:r>
      <w:r w:rsidRPr="00D72387">
        <w:rPr>
          <w:rFonts w:ascii="Arial Narrow" w:hAnsi="Arial Narrow"/>
          <w:sz w:val="23"/>
          <w:szCs w:val="23"/>
        </w:rPr>
        <w:t xml:space="preserve">de </w:t>
      </w:r>
      <w:r w:rsidRPr="00D72387">
        <w:rPr>
          <w:rFonts w:ascii="Arial Narrow" w:eastAsia="Arial" w:hAnsi="Arial Narrow" w:cs="Arial"/>
          <w:sz w:val="23"/>
          <w:szCs w:val="23"/>
          <w:lang w:bidi="ar"/>
        </w:rPr>
        <w:t>travail</w:t>
      </w:r>
      <w:r w:rsidR="00EC0344">
        <w:rPr>
          <w:rFonts w:ascii="Arial Narrow" w:hAnsi="Arial Narrow"/>
          <w:sz w:val="23"/>
          <w:szCs w:val="23"/>
        </w:rPr>
        <w:t>. L’o</w:t>
      </w:r>
      <w:r w:rsidRPr="00D72387">
        <w:rPr>
          <w:rFonts w:ascii="Arial Narrow" w:hAnsi="Arial Narrow"/>
          <w:sz w:val="23"/>
          <w:szCs w:val="23"/>
        </w:rPr>
        <w:t xml:space="preserve">n peut </w:t>
      </w:r>
      <w:r w:rsidR="00EC0344">
        <w:rPr>
          <w:rFonts w:ascii="Arial Narrow" w:hAnsi="Arial Narrow"/>
          <w:sz w:val="23"/>
          <w:szCs w:val="23"/>
        </w:rPr>
        <w:t xml:space="preserve">ainsi </w:t>
      </w:r>
      <w:r w:rsidRPr="00D72387">
        <w:rPr>
          <w:rFonts w:ascii="Arial Narrow" w:hAnsi="Arial Narrow"/>
          <w:sz w:val="23"/>
          <w:szCs w:val="23"/>
        </w:rPr>
        <w:t xml:space="preserve">lire sur le site de l’ONR qu’il subsiste, en 2012, 31 demandes de </w:t>
      </w:r>
      <w:r w:rsidR="00EC0344">
        <w:rPr>
          <w:rFonts w:ascii="Arial Narrow" w:hAnsi="Arial Narrow"/>
          <w:sz w:val="23"/>
          <w:szCs w:val="23"/>
        </w:rPr>
        <w:t>GDA issues &amp;</w:t>
      </w:r>
      <w:r w:rsidRPr="00D72387">
        <w:rPr>
          <w:rFonts w:ascii="Arial Narrow" w:hAnsi="Arial Narrow"/>
          <w:sz w:val="23"/>
          <w:szCs w:val="23"/>
        </w:rPr>
        <w:t xml:space="preserve"> </w:t>
      </w:r>
      <w:r w:rsidR="00EC0344">
        <w:rPr>
          <w:rFonts w:ascii="Arial Narrow" w:hAnsi="Arial Narrow"/>
          <w:sz w:val="23"/>
          <w:szCs w:val="23"/>
        </w:rPr>
        <w:t>Resolution Plans</w:t>
      </w:r>
      <w:r w:rsidRPr="00D72387">
        <w:rPr>
          <w:rFonts w:ascii="Arial Narrow" w:hAnsi="Arial Narrow"/>
          <w:sz w:val="23"/>
          <w:szCs w:val="23"/>
        </w:rPr>
        <w:t xml:space="preserve">, qui se décomposent en 126 Assessment Findings, sur des sujets aussi structurants </w:t>
      </w:r>
      <w:r w:rsidR="00901A7F" w:rsidRPr="00D72387">
        <w:rPr>
          <w:rFonts w:ascii="Arial Narrow" w:hAnsi="Arial Narrow"/>
          <w:sz w:val="23"/>
          <w:szCs w:val="23"/>
        </w:rPr>
        <w:t xml:space="preserve">pour la sûreté </w:t>
      </w:r>
      <w:r w:rsidRPr="00D72387">
        <w:rPr>
          <w:rFonts w:ascii="Arial Narrow" w:hAnsi="Arial Narrow"/>
          <w:sz w:val="23"/>
          <w:szCs w:val="23"/>
        </w:rPr>
        <w:t>que:</w:t>
      </w:r>
    </w:p>
    <w:p w14:paraId="181E4A5C" w14:textId="77777777" w:rsidR="00487CF3" w:rsidRPr="00D72387" w:rsidRDefault="00487CF3" w:rsidP="00D72387">
      <w:pPr>
        <w:snapToGrid w:val="0"/>
        <w:spacing w:before="120" w:after="0" w:line="240" w:lineRule="auto"/>
        <w:ind w:left="284" w:right="720"/>
        <w:rPr>
          <w:rFonts w:ascii="Arial Narrow" w:hAnsi="Arial Narrow"/>
          <w:sz w:val="23"/>
          <w:szCs w:val="23"/>
        </w:rPr>
      </w:pPr>
      <w:r w:rsidRPr="00D72387">
        <w:rPr>
          <w:rFonts w:ascii="Arial Narrow" w:hAnsi="Arial Narrow"/>
          <w:sz w:val="23"/>
          <w:szCs w:val="23"/>
        </w:rPr>
        <w:t xml:space="preserve">(i) la </w:t>
      </w:r>
      <w:r w:rsidRPr="00D72387">
        <w:rPr>
          <w:rFonts w:ascii="Arial Narrow" w:eastAsia="Arial" w:hAnsi="Arial Narrow" w:cs="Arial"/>
          <w:sz w:val="23"/>
          <w:szCs w:val="23"/>
          <w:lang w:bidi="ar"/>
        </w:rPr>
        <w:t>fiabilité prolongée</w:t>
      </w:r>
      <w:r w:rsidRPr="00D72387">
        <w:rPr>
          <w:rFonts w:ascii="Arial Narrow" w:hAnsi="Arial Narrow"/>
          <w:sz w:val="23"/>
          <w:szCs w:val="23"/>
        </w:rPr>
        <w:t xml:space="preserve"> des systèmes support (refroidissement, alimentations électriques, ventilations et air conditionné). Les achats du matériel électrique ne pourraient ainsi pas être spécifiés à ce stade,</w:t>
      </w:r>
    </w:p>
    <w:p w14:paraId="5D1773BA" w14:textId="7230F38B" w:rsidR="00487CF3" w:rsidRPr="00D72387" w:rsidRDefault="00487CF3" w:rsidP="00D72387">
      <w:pPr>
        <w:snapToGrid w:val="0"/>
        <w:spacing w:before="120" w:after="0" w:line="240" w:lineRule="auto"/>
        <w:ind w:left="284" w:right="720"/>
        <w:rPr>
          <w:rFonts w:ascii="Arial Narrow" w:hAnsi="Arial Narrow"/>
          <w:sz w:val="23"/>
          <w:szCs w:val="23"/>
        </w:rPr>
      </w:pPr>
      <w:r w:rsidRPr="00D72387">
        <w:rPr>
          <w:rFonts w:ascii="Arial Narrow" w:hAnsi="Arial Narrow"/>
          <w:sz w:val="23"/>
          <w:szCs w:val="23"/>
        </w:rPr>
        <w:t xml:space="preserve">(ii) </w:t>
      </w:r>
      <w:r w:rsidRPr="00D72387">
        <w:rPr>
          <w:rFonts w:ascii="Arial Narrow" w:eastAsia="Arial" w:hAnsi="Arial Narrow" w:cs="Arial"/>
          <w:sz w:val="23"/>
          <w:szCs w:val="23"/>
          <w:lang w:bidi="ar"/>
        </w:rPr>
        <w:t>le</w:t>
      </w:r>
      <w:r w:rsidRPr="00D72387">
        <w:rPr>
          <w:rFonts w:ascii="Arial Narrow" w:hAnsi="Arial Narrow"/>
          <w:sz w:val="23"/>
          <w:szCs w:val="23"/>
        </w:rPr>
        <w:t xml:space="preserve"> contrôle commande indépendant de l’informatique, portant sur </w:t>
      </w:r>
      <w:r w:rsidRPr="00D72387">
        <w:rPr>
          <w:rFonts w:ascii="Arial Narrow" w:eastAsia="Arial" w:hAnsi="Arial Narrow" w:cs="Arial"/>
          <w:sz w:val="23"/>
          <w:szCs w:val="23"/>
          <w:lang w:bidi="ar"/>
        </w:rPr>
        <w:t xml:space="preserve">les protections conduisant à </w:t>
      </w:r>
      <w:r w:rsidRPr="00D72387">
        <w:rPr>
          <w:rFonts w:ascii="Arial Narrow" w:hAnsi="Arial Narrow"/>
          <w:sz w:val="23"/>
          <w:szCs w:val="23"/>
        </w:rPr>
        <w:t xml:space="preserve">l’arrêt </w:t>
      </w:r>
      <w:r w:rsidRPr="00D72387">
        <w:rPr>
          <w:rFonts w:ascii="Arial Narrow" w:eastAsia="Arial" w:hAnsi="Arial Narrow" w:cs="Arial"/>
          <w:sz w:val="23"/>
          <w:szCs w:val="23"/>
          <w:lang w:bidi="ar"/>
        </w:rPr>
        <w:t xml:space="preserve">automatique du </w:t>
      </w:r>
      <w:r w:rsidRPr="00D72387">
        <w:rPr>
          <w:rFonts w:ascii="Arial Narrow" w:hAnsi="Arial Narrow"/>
          <w:sz w:val="23"/>
          <w:szCs w:val="23"/>
        </w:rPr>
        <w:t xml:space="preserve">réacteur, sur la défaillance des systèmes </w:t>
      </w:r>
      <w:r w:rsidRPr="00D72387">
        <w:rPr>
          <w:rFonts w:ascii="Arial Narrow" w:eastAsia="Arial" w:hAnsi="Arial Narrow" w:cs="Arial"/>
          <w:sz w:val="23"/>
          <w:szCs w:val="23"/>
          <w:lang w:bidi="ar"/>
        </w:rPr>
        <w:t xml:space="preserve">supports et de </w:t>
      </w:r>
      <w:r w:rsidRPr="00D72387">
        <w:rPr>
          <w:rFonts w:ascii="Arial Narrow" w:hAnsi="Arial Narrow"/>
          <w:sz w:val="23"/>
          <w:szCs w:val="23"/>
        </w:rPr>
        <w:t>la piscine</w:t>
      </w:r>
      <w:r w:rsidRPr="00D72387">
        <w:rPr>
          <w:rFonts w:ascii="Arial Narrow" w:eastAsia="Arial" w:hAnsi="Arial Narrow" w:cs="Arial"/>
          <w:sz w:val="23"/>
          <w:szCs w:val="23"/>
          <w:lang w:bidi="ar"/>
        </w:rPr>
        <w:t>,</w:t>
      </w:r>
      <w:r w:rsidRPr="00D72387">
        <w:rPr>
          <w:rFonts w:ascii="Arial Narrow" w:hAnsi="Arial Narrow"/>
          <w:sz w:val="23"/>
          <w:szCs w:val="23"/>
        </w:rPr>
        <w:t xml:space="preserve"> sur </w:t>
      </w:r>
      <w:r w:rsidRPr="00D72387">
        <w:rPr>
          <w:rFonts w:ascii="Arial Narrow" w:eastAsia="Arial" w:hAnsi="Arial Narrow" w:cs="Arial"/>
          <w:sz w:val="23"/>
          <w:szCs w:val="23"/>
          <w:lang w:bidi="ar"/>
        </w:rPr>
        <w:t>la conduite post-accidentelle</w:t>
      </w:r>
      <w:r w:rsidRPr="00D72387">
        <w:rPr>
          <w:rFonts w:ascii="Arial Narrow" w:hAnsi="Arial Narrow"/>
          <w:sz w:val="23"/>
          <w:szCs w:val="23"/>
        </w:rPr>
        <w:t xml:space="preserve"> de </w:t>
      </w:r>
      <w:r w:rsidRPr="00D72387">
        <w:rPr>
          <w:rFonts w:ascii="Arial Narrow" w:eastAsia="Arial" w:hAnsi="Arial Narrow" w:cs="Arial"/>
          <w:sz w:val="23"/>
          <w:szCs w:val="23"/>
          <w:lang w:bidi="ar"/>
        </w:rPr>
        <w:t xml:space="preserve">la </w:t>
      </w:r>
      <w:r w:rsidR="00A018FE" w:rsidRPr="00D72387">
        <w:rPr>
          <w:rFonts w:ascii="Arial Narrow" w:eastAsia="Arial" w:hAnsi="Arial Narrow" w:cs="Arial"/>
          <w:sz w:val="23"/>
          <w:szCs w:val="23"/>
          <w:lang w:bidi="ar"/>
        </w:rPr>
        <w:t>rupture de tube de</w:t>
      </w:r>
      <w:r w:rsidR="00853A8D" w:rsidRPr="00D72387">
        <w:rPr>
          <w:rFonts w:ascii="Arial Narrow" w:eastAsia="Arial" w:hAnsi="Arial Narrow" w:cs="Arial"/>
          <w:sz w:val="23"/>
          <w:szCs w:val="23"/>
          <w:lang w:bidi="ar"/>
        </w:rPr>
        <w:t xml:space="preserve"> GV (</w:t>
      </w:r>
      <w:r w:rsidRPr="00D72387">
        <w:rPr>
          <w:rFonts w:ascii="Arial Narrow" w:eastAsia="Arial" w:hAnsi="Arial Narrow" w:cs="Arial"/>
          <w:sz w:val="23"/>
          <w:szCs w:val="23"/>
          <w:lang w:bidi="ar"/>
        </w:rPr>
        <w:t>RTGV</w:t>
      </w:r>
      <w:r w:rsidR="00853A8D" w:rsidRPr="00D72387">
        <w:rPr>
          <w:rFonts w:ascii="Arial Narrow" w:eastAsia="Arial" w:hAnsi="Arial Narrow" w:cs="Arial"/>
          <w:sz w:val="23"/>
          <w:szCs w:val="23"/>
          <w:lang w:bidi="ar"/>
        </w:rPr>
        <w:t>)</w:t>
      </w:r>
      <w:r w:rsidRPr="00D72387">
        <w:rPr>
          <w:rFonts w:ascii="Arial Narrow" w:eastAsia="Arial" w:hAnsi="Arial Narrow" w:cs="Arial"/>
          <w:sz w:val="23"/>
          <w:szCs w:val="23"/>
          <w:lang w:bidi="ar"/>
        </w:rPr>
        <w:t xml:space="preserve"> et des </w:t>
      </w:r>
      <w:r w:rsidRPr="00D72387">
        <w:rPr>
          <w:rFonts w:ascii="Arial Narrow" w:hAnsi="Arial Narrow"/>
          <w:sz w:val="23"/>
          <w:szCs w:val="23"/>
        </w:rPr>
        <w:t>accidents graves</w:t>
      </w:r>
      <w:r w:rsidRPr="00D72387">
        <w:rPr>
          <w:rFonts w:ascii="Arial Narrow" w:eastAsia="Arial" w:hAnsi="Arial Narrow" w:cs="Arial"/>
          <w:sz w:val="23"/>
          <w:szCs w:val="23"/>
          <w:lang w:bidi="ar"/>
        </w:rPr>
        <w:t>,</w:t>
      </w:r>
    </w:p>
    <w:p w14:paraId="67BF8B46" w14:textId="77777777" w:rsidR="00487CF3" w:rsidRPr="00D72387" w:rsidRDefault="00487CF3" w:rsidP="00D72387">
      <w:pPr>
        <w:snapToGrid w:val="0"/>
        <w:spacing w:before="120" w:after="0" w:line="240" w:lineRule="auto"/>
        <w:ind w:left="284" w:right="720"/>
        <w:rPr>
          <w:rFonts w:ascii="Arial Narrow" w:eastAsia="Arial" w:hAnsi="Arial Narrow" w:cs="Arial"/>
          <w:sz w:val="23"/>
          <w:szCs w:val="23"/>
          <w:lang w:bidi="ar"/>
        </w:rPr>
      </w:pPr>
      <w:r w:rsidRPr="00D72387">
        <w:rPr>
          <w:rFonts w:ascii="Arial Narrow" w:eastAsia="Arial" w:hAnsi="Arial Narrow" w:cs="Arial"/>
          <w:sz w:val="23"/>
          <w:szCs w:val="23"/>
          <w:lang w:bidi="ar"/>
        </w:rPr>
        <w:t xml:space="preserve">(iii) </w:t>
      </w:r>
      <w:r w:rsidRPr="00D72387">
        <w:rPr>
          <w:rFonts w:ascii="Arial Narrow" w:hAnsi="Arial Narrow" w:cs="Arial"/>
          <w:sz w:val="23"/>
          <w:szCs w:val="23"/>
        </w:rPr>
        <w:t>le comportement du puits de cuve et de son joint en cas d’accident grave, avec la conduite post-accidentelle en présence d’un cœur détruit, d’un corium en train de s’épandre et des risques d’explosion de vapeur.</w:t>
      </w:r>
    </w:p>
    <w:p w14:paraId="3A4EDB11" w14:textId="438DCA52" w:rsidR="00487CF3" w:rsidRPr="00D72387" w:rsidRDefault="00487CF3" w:rsidP="00D72387">
      <w:pPr>
        <w:snapToGrid w:val="0"/>
        <w:spacing w:before="120" w:after="0" w:line="240" w:lineRule="auto"/>
        <w:ind w:right="720"/>
        <w:rPr>
          <w:rFonts w:ascii="Arial Narrow" w:hAnsi="Arial Narrow"/>
          <w:sz w:val="23"/>
          <w:szCs w:val="23"/>
        </w:rPr>
      </w:pPr>
      <w:r w:rsidRPr="00D72387">
        <w:rPr>
          <w:rFonts w:ascii="Arial Narrow" w:hAnsi="Arial Narrow"/>
          <w:sz w:val="23"/>
          <w:szCs w:val="23"/>
        </w:rPr>
        <w:t xml:space="preserve">- Fin 2015 : le rapport d’Escatha considère que l’UK EPR </w:t>
      </w:r>
      <w:r w:rsidR="00754846" w:rsidRPr="00D72387">
        <w:rPr>
          <w:rFonts w:ascii="Arial Narrow" w:hAnsi="Arial Narrow"/>
          <w:sz w:val="23"/>
          <w:szCs w:val="23"/>
        </w:rPr>
        <w:t xml:space="preserve">est une tête de série et que le </w:t>
      </w:r>
      <w:r w:rsidR="0095609C">
        <w:rPr>
          <w:rFonts w:ascii="Arial Narrow" w:hAnsi="Arial Narrow"/>
          <w:sz w:val="23"/>
          <w:szCs w:val="23"/>
        </w:rPr>
        <w:t>Basic</w:t>
      </w:r>
      <w:r w:rsidRPr="00D72387">
        <w:rPr>
          <w:rFonts w:ascii="Arial Narrow" w:hAnsi="Arial Narrow"/>
          <w:sz w:val="23"/>
          <w:szCs w:val="23"/>
        </w:rPr>
        <w:t xml:space="preserve"> Design n’est </w:t>
      </w:r>
      <w:r w:rsidR="0025053D">
        <w:rPr>
          <w:rFonts w:ascii="Arial Narrow" w:hAnsi="Arial Narrow"/>
          <w:sz w:val="23"/>
          <w:szCs w:val="23"/>
        </w:rPr>
        <w:t xml:space="preserve">pas </w:t>
      </w:r>
      <w:r w:rsidRPr="00D72387">
        <w:rPr>
          <w:rFonts w:ascii="Arial Narrow" w:hAnsi="Arial Narrow"/>
          <w:sz w:val="23"/>
          <w:szCs w:val="23"/>
        </w:rPr>
        <w:t>encore stabilisé,</w:t>
      </w:r>
    </w:p>
    <w:p w14:paraId="7E36DE75" w14:textId="16F8D06F" w:rsidR="00487CF3" w:rsidRPr="00D72387" w:rsidRDefault="00487CF3" w:rsidP="00D72387">
      <w:pPr>
        <w:snapToGrid w:val="0"/>
        <w:spacing w:before="120" w:after="0" w:line="240" w:lineRule="auto"/>
        <w:ind w:right="720"/>
        <w:rPr>
          <w:rFonts w:ascii="Arial Narrow" w:hAnsi="Arial Narrow"/>
          <w:sz w:val="23"/>
          <w:szCs w:val="23"/>
        </w:rPr>
      </w:pPr>
      <w:r w:rsidRPr="00D72387">
        <w:rPr>
          <w:rFonts w:ascii="Arial Narrow" w:hAnsi="Arial Narrow"/>
          <w:b/>
          <w:sz w:val="23"/>
          <w:szCs w:val="23"/>
        </w:rPr>
        <w:t>Quel est alors</w:t>
      </w:r>
      <w:r w:rsidRPr="00D72387">
        <w:rPr>
          <w:rFonts w:ascii="Arial Narrow" w:eastAsia="Arial" w:hAnsi="Arial Narrow" w:cs="Arial"/>
          <w:b/>
          <w:sz w:val="23"/>
          <w:szCs w:val="23"/>
          <w:lang w:bidi="ar"/>
        </w:rPr>
        <w:t>,</w:t>
      </w:r>
      <w:r w:rsidRPr="00D72387">
        <w:rPr>
          <w:rFonts w:ascii="Arial Narrow" w:hAnsi="Arial Narrow"/>
          <w:b/>
          <w:sz w:val="23"/>
          <w:szCs w:val="23"/>
        </w:rPr>
        <w:t xml:space="preserve"> en janvier 2019</w:t>
      </w:r>
      <w:r w:rsidRPr="00D72387">
        <w:rPr>
          <w:rFonts w:ascii="Arial Narrow" w:eastAsia="Arial" w:hAnsi="Arial Narrow" w:cs="Arial"/>
          <w:b/>
          <w:sz w:val="23"/>
          <w:szCs w:val="23"/>
          <w:lang w:bidi="ar"/>
        </w:rPr>
        <w:t>,</w:t>
      </w:r>
      <w:r w:rsidRPr="00D72387">
        <w:rPr>
          <w:rFonts w:ascii="Arial Narrow" w:hAnsi="Arial Narrow"/>
          <w:b/>
          <w:sz w:val="23"/>
          <w:szCs w:val="23"/>
        </w:rPr>
        <w:t xml:space="preserve"> </w:t>
      </w:r>
      <w:r w:rsidR="00EC0344">
        <w:rPr>
          <w:rFonts w:ascii="Arial Narrow" w:hAnsi="Arial Narrow"/>
          <w:b/>
          <w:sz w:val="23"/>
          <w:szCs w:val="23"/>
        </w:rPr>
        <w:t>le niveau de maturité du Generic</w:t>
      </w:r>
      <w:r w:rsidRPr="00D72387">
        <w:rPr>
          <w:rFonts w:ascii="Arial Narrow" w:hAnsi="Arial Narrow"/>
          <w:b/>
          <w:sz w:val="23"/>
          <w:szCs w:val="23"/>
        </w:rPr>
        <w:t xml:space="preserve"> Design de l’UK EPR ?</w:t>
      </w:r>
      <w:r w:rsidR="00AF0076">
        <w:rPr>
          <w:rFonts w:ascii="Arial Narrow" w:hAnsi="Arial Narrow"/>
          <w:b/>
          <w:sz w:val="23"/>
          <w:szCs w:val="23"/>
        </w:rPr>
        <w:t xml:space="preserve"> </w:t>
      </w:r>
      <w:r w:rsidR="00AF0076">
        <w:rPr>
          <w:rFonts w:ascii="Arial Narrow" w:eastAsia="Arial" w:hAnsi="Arial Narrow" w:cs="Arial"/>
          <w:b/>
          <w:sz w:val="23"/>
          <w:szCs w:val="23"/>
          <w:lang w:bidi="ar"/>
        </w:rPr>
        <w:t xml:space="preserve">Quel est le calendrier </w:t>
      </w:r>
      <w:r w:rsidR="00EC0344">
        <w:rPr>
          <w:rFonts w:ascii="Arial Narrow" w:eastAsia="Arial" w:hAnsi="Arial Narrow" w:cs="Arial"/>
          <w:b/>
          <w:sz w:val="23"/>
          <w:szCs w:val="23"/>
          <w:lang w:bidi="ar"/>
        </w:rPr>
        <w:t>pour solder les Resolution Plans et l</w:t>
      </w:r>
      <w:r w:rsidR="00AF0076">
        <w:rPr>
          <w:rFonts w:ascii="Arial Narrow" w:eastAsia="Arial" w:hAnsi="Arial Narrow" w:cs="Arial"/>
          <w:b/>
          <w:sz w:val="23"/>
          <w:szCs w:val="23"/>
          <w:lang w:bidi="ar"/>
        </w:rPr>
        <w:t>es 126 Assessment Findings ?</w:t>
      </w:r>
    </w:p>
    <w:p w14:paraId="1A01330E" w14:textId="77777777" w:rsidR="00487CF3" w:rsidRPr="00D72387" w:rsidRDefault="00487CF3" w:rsidP="00D72387">
      <w:pPr>
        <w:snapToGrid w:val="0"/>
        <w:spacing w:before="120" w:after="0" w:line="240" w:lineRule="auto"/>
        <w:ind w:right="720"/>
        <w:rPr>
          <w:rFonts w:ascii="Arial Narrow" w:eastAsia="Arial" w:hAnsi="Arial Narrow" w:cs="Arial"/>
          <w:b/>
          <w:sz w:val="23"/>
          <w:szCs w:val="23"/>
          <w:lang w:bidi="ar"/>
        </w:rPr>
      </w:pPr>
      <w:r w:rsidRPr="00D72387">
        <w:rPr>
          <w:rFonts w:ascii="Arial Narrow" w:hAnsi="Arial Narrow"/>
          <w:b/>
          <w:sz w:val="23"/>
          <w:szCs w:val="23"/>
        </w:rPr>
        <w:t xml:space="preserve">Quels sont les accords de licence entre EDF et CGN ? </w:t>
      </w:r>
    </w:p>
    <w:p w14:paraId="3B106000" w14:textId="6260FDC6" w:rsidR="00487CF3" w:rsidRPr="00D72387" w:rsidRDefault="00AF0076" w:rsidP="00D72387">
      <w:pPr>
        <w:snapToGrid w:val="0"/>
        <w:spacing w:before="120" w:after="0" w:line="240" w:lineRule="auto"/>
        <w:ind w:right="720"/>
        <w:rPr>
          <w:rFonts w:ascii="Arial Narrow" w:hAnsi="Arial Narrow"/>
          <w:sz w:val="23"/>
          <w:szCs w:val="23"/>
        </w:rPr>
      </w:pPr>
      <w:r>
        <w:rPr>
          <w:rFonts w:ascii="Arial Narrow" w:hAnsi="Arial Narrow"/>
          <w:b/>
          <w:sz w:val="23"/>
          <w:szCs w:val="23"/>
        </w:rPr>
        <w:t>Permettent-ils</w:t>
      </w:r>
      <w:r w:rsidR="00487CF3" w:rsidRPr="00D72387">
        <w:rPr>
          <w:rFonts w:ascii="Arial Narrow" w:hAnsi="Arial Narrow"/>
          <w:b/>
          <w:sz w:val="23"/>
          <w:szCs w:val="23"/>
        </w:rPr>
        <w:t xml:space="preserve"> de bénéficier pleinement par ex. des cahiers des charges des </w:t>
      </w:r>
      <w:r w:rsidR="00A018FE" w:rsidRPr="00D72387">
        <w:rPr>
          <w:rFonts w:ascii="Arial Narrow" w:hAnsi="Arial Narrow"/>
          <w:b/>
          <w:sz w:val="23"/>
          <w:szCs w:val="23"/>
        </w:rPr>
        <w:t>achats de</w:t>
      </w:r>
      <w:r>
        <w:rPr>
          <w:rFonts w:ascii="Arial Narrow" w:hAnsi="Arial Narrow"/>
          <w:b/>
          <w:sz w:val="23"/>
          <w:szCs w:val="23"/>
        </w:rPr>
        <w:t xml:space="preserve"> matériel électrique pour le </w:t>
      </w:r>
      <w:r w:rsidR="00A018FE" w:rsidRPr="00D72387">
        <w:rPr>
          <w:rFonts w:ascii="Arial Narrow" w:hAnsi="Arial Narrow"/>
          <w:b/>
          <w:sz w:val="23"/>
          <w:szCs w:val="23"/>
        </w:rPr>
        <w:t xml:space="preserve">(i) ci-dessus ? Ou la gestion </w:t>
      </w:r>
      <w:r w:rsidR="00FB288D" w:rsidRPr="00D72387">
        <w:rPr>
          <w:rFonts w:ascii="Arial Narrow" w:hAnsi="Arial Narrow"/>
          <w:b/>
          <w:sz w:val="23"/>
          <w:szCs w:val="23"/>
        </w:rPr>
        <w:t xml:space="preserve">de perte prolongée des </w:t>
      </w:r>
      <w:r w:rsidR="004B7CBE" w:rsidRPr="00D72387">
        <w:rPr>
          <w:rFonts w:ascii="Arial Narrow" w:hAnsi="Arial Narrow"/>
          <w:b/>
          <w:sz w:val="23"/>
          <w:szCs w:val="23"/>
        </w:rPr>
        <w:t>systèmes support (</w:t>
      </w:r>
      <w:r w:rsidR="00FB288D" w:rsidRPr="00D72387">
        <w:rPr>
          <w:rFonts w:ascii="Arial Narrow" w:hAnsi="Arial Narrow"/>
          <w:b/>
          <w:sz w:val="23"/>
          <w:szCs w:val="23"/>
        </w:rPr>
        <w:t>alimentations électriques externes</w:t>
      </w:r>
      <w:r w:rsidR="004B7CBE" w:rsidRPr="00D72387">
        <w:rPr>
          <w:rFonts w:ascii="Arial Narrow" w:hAnsi="Arial Narrow"/>
          <w:b/>
          <w:sz w:val="23"/>
          <w:szCs w:val="23"/>
        </w:rPr>
        <w:t>)</w:t>
      </w:r>
      <w:r w:rsidR="00A018FE" w:rsidRPr="00D72387">
        <w:rPr>
          <w:rFonts w:ascii="Arial Narrow" w:hAnsi="Arial Narrow"/>
          <w:b/>
          <w:sz w:val="23"/>
          <w:szCs w:val="23"/>
        </w:rPr>
        <w:t xml:space="preserve"> est-elle</w:t>
      </w:r>
      <w:r w:rsidR="00487CF3" w:rsidRPr="00D72387">
        <w:rPr>
          <w:rFonts w:ascii="Arial Narrow" w:hAnsi="Arial Narrow"/>
          <w:b/>
          <w:sz w:val="23"/>
          <w:szCs w:val="23"/>
        </w:rPr>
        <w:t xml:space="preserve"> </w:t>
      </w:r>
      <w:r w:rsidR="00EC0344">
        <w:rPr>
          <w:rFonts w:ascii="Arial Narrow" w:hAnsi="Arial Narrow"/>
          <w:b/>
          <w:sz w:val="23"/>
          <w:szCs w:val="23"/>
        </w:rPr>
        <w:t xml:space="preserve">trop </w:t>
      </w:r>
      <w:r w:rsidR="00487CF3" w:rsidRPr="00D72387">
        <w:rPr>
          <w:rFonts w:ascii="Arial Narrow" w:hAnsi="Arial Narrow"/>
          <w:b/>
          <w:sz w:val="23"/>
          <w:szCs w:val="23"/>
        </w:rPr>
        <w:t>« UK Specific » ?</w:t>
      </w:r>
    </w:p>
    <w:p w14:paraId="7E3FB783" w14:textId="2CD5D061" w:rsidR="00487CF3" w:rsidRPr="00D72387" w:rsidRDefault="00487CF3" w:rsidP="00D72387">
      <w:pPr>
        <w:snapToGrid w:val="0"/>
        <w:spacing w:before="120" w:after="0" w:line="240" w:lineRule="auto"/>
        <w:ind w:right="720"/>
        <w:rPr>
          <w:rFonts w:ascii="Arial Narrow" w:hAnsi="Arial Narrow"/>
          <w:sz w:val="23"/>
          <w:szCs w:val="23"/>
        </w:rPr>
      </w:pPr>
      <w:r w:rsidRPr="00D72387">
        <w:rPr>
          <w:rFonts w:ascii="Arial Narrow" w:hAnsi="Arial Narrow"/>
          <w:b/>
          <w:sz w:val="23"/>
          <w:szCs w:val="23"/>
        </w:rPr>
        <w:t>Compte-tenu du fait que 3 EPR sont en cours de construction en Europe, cela ne pose-t-il pas finalement la question de la qualité d’intégration de conception du pr</w:t>
      </w:r>
      <w:r w:rsidR="001E2136" w:rsidRPr="00D72387">
        <w:rPr>
          <w:rFonts w:ascii="Arial Narrow" w:hAnsi="Arial Narrow"/>
          <w:b/>
          <w:sz w:val="23"/>
          <w:szCs w:val="23"/>
        </w:rPr>
        <w:t>oduit EPR,</w:t>
      </w:r>
      <w:r w:rsidRPr="00D72387">
        <w:rPr>
          <w:rFonts w:ascii="Arial Narrow" w:hAnsi="Arial Narrow"/>
          <w:b/>
          <w:sz w:val="23"/>
          <w:szCs w:val="23"/>
        </w:rPr>
        <w:t xml:space="preserve"> permettant de maîtriser le « Design to Cost » </w:t>
      </w:r>
      <w:r w:rsidR="001E2136" w:rsidRPr="00D72387">
        <w:rPr>
          <w:rFonts w:ascii="Arial Narrow" w:hAnsi="Arial Narrow"/>
          <w:b/>
          <w:sz w:val="23"/>
          <w:szCs w:val="23"/>
        </w:rPr>
        <w:t xml:space="preserve">de </w:t>
      </w:r>
      <w:r w:rsidR="0019577A" w:rsidRPr="00D72387">
        <w:rPr>
          <w:rFonts w:ascii="Arial Narrow" w:hAnsi="Arial Narrow"/>
          <w:b/>
          <w:sz w:val="23"/>
          <w:szCs w:val="23"/>
        </w:rPr>
        <w:t>ce réacteur</w:t>
      </w:r>
      <w:r w:rsidR="00AF0076">
        <w:rPr>
          <w:rFonts w:ascii="Arial Narrow" w:hAnsi="Arial Narrow"/>
          <w:b/>
          <w:sz w:val="23"/>
          <w:szCs w:val="23"/>
        </w:rPr>
        <w:t xml:space="preserve">, </w:t>
      </w:r>
      <w:r w:rsidR="003F0ADC">
        <w:rPr>
          <w:rFonts w:ascii="Arial Narrow" w:hAnsi="Arial Narrow"/>
          <w:b/>
          <w:sz w:val="23"/>
          <w:szCs w:val="23"/>
        </w:rPr>
        <w:t>à stabiliser avant</w:t>
      </w:r>
      <w:r w:rsidR="0019577A" w:rsidRPr="00D72387">
        <w:rPr>
          <w:rFonts w:ascii="Arial Narrow" w:hAnsi="Arial Narrow"/>
          <w:b/>
          <w:sz w:val="23"/>
          <w:szCs w:val="23"/>
        </w:rPr>
        <w:t xml:space="preserve"> exportation</w:t>
      </w:r>
      <w:r w:rsidRPr="00D72387">
        <w:rPr>
          <w:rFonts w:ascii="Arial Narrow" w:hAnsi="Arial Narrow"/>
          <w:b/>
          <w:sz w:val="23"/>
          <w:szCs w:val="23"/>
        </w:rPr>
        <w:t>?</w:t>
      </w:r>
    </w:p>
    <w:p w14:paraId="2914A00B" w14:textId="77777777" w:rsidR="002F1DF8" w:rsidRPr="00D72387" w:rsidRDefault="002F1DF8" w:rsidP="00D72387">
      <w:pPr>
        <w:snapToGrid w:val="0"/>
        <w:spacing w:before="120" w:after="0" w:line="240" w:lineRule="auto"/>
        <w:ind w:right="720"/>
        <w:rPr>
          <w:rFonts w:ascii="Arial Narrow" w:hAnsi="Arial Narrow"/>
          <w:b/>
          <w:sz w:val="23"/>
          <w:szCs w:val="23"/>
          <w:u w:val="single"/>
        </w:rPr>
      </w:pPr>
    </w:p>
    <w:p w14:paraId="6D7022C9" w14:textId="1B7BE0D3" w:rsidR="00487CF3" w:rsidRPr="00D72387" w:rsidRDefault="00487CF3" w:rsidP="00D72387">
      <w:pPr>
        <w:pStyle w:val="Paragraphedeliste"/>
        <w:numPr>
          <w:ilvl w:val="0"/>
          <w:numId w:val="2"/>
        </w:numPr>
        <w:snapToGrid w:val="0"/>
        <w:spacing w:before="120" w:after="0" w:line="240" w:lineRule="auto"/>
        <w:ind w:left="284" w:hanging="284"/>
        <w:contextualSpacing w:val="0"/>
        <w:jc w:val="both"/>
        <w:rPr>
          <w:rFonts w:ascii="Arial Narrow" w:hAnsi="Arial Narrow" w:cs="Times New Roman"/>
          <w:b/>
          <w:sz w:val="23"/>
          <w:szCs w:val="23"/>
        </w:rPr>
      </w:pPr>
      <w:r w:rsidRPr="00D72387">
        <w:rPr>
          <w:rFonts w:ascii="Arial Narrow" w:hAnsi="Arial Narrow" w:cs="Times New Roman"/>
          <w:b/>
          <w:sz w:val="23"/>
          <w:szCs w:val="23"/>
        </w:rPr>
        <w:t>S’agissant du calendrier :</w:t>
      </w:r>
    </w:p>
    <w:p w14:paraId="01F35F27" w14:textId="75D156AE" w:rsidR="00487CF3" w:rsidRPr="00D72387" w:rsidRDefault="00487CF3" w:rsidP="00D72387">
      <w:pPr>
        <w:snapToGrid w:val="0"/>
        <w:spacing w:before="120" w:after="0" w:line="240" w:lineRule="auto"/>
        <w:ind w:right="720"/>
        <w:rPr>
          <w:rFonts w:ascii="Arial Narrow" w:hAnsi="Arial Narrow"/>
          <w:sz w:val="23"/>
          <w:szCs w:val="23"/>
        </w:rPr>
      </w:pPr>
      <w:r w:rsidRPr="00D72387">
        <w:rPr>
          <w:rFonts w:ascii="Arial Narrow" w:hAnsi="Arial Narrow"/>
          <w:b/>
          <w:sz w:val="23"/>
          <w:szCs w:val="23"/>
        </w:rPr>
        <w:t xml:space="preserve">Quel est le calendrier </w:t>
      </w:r>
      <w:r w:rsidR="000C4451" w:rsidRPr="00D72387">
        <w:rPr>
          <w:rFonts w:ascii="Arial Narrow" w:hAnsi="Arial Narrow"/>
          <w:b/>
          <w:sz w:val="23"/>
          <w:szCs w:val="23"/>
        </w:rPr>
        <w:t>de</w:t>
      </w:r>
      <w:r w:rsidR="003F0ADC">
        <w:rPr>
          <w:rFonts w:ascii="Arial Narrow" w:hAnsi="Arial Narrow"/>
          <w:b/>
          <w:sz w:val="23"/>
          <w:szCs w:val="23"/>
        </w:rPr>
        <w:t>s points de</w:t>
      </w:r>
      <w:r w:rsidR="000C4451" w:rsidRPr="00D72387">
        <w:rPr>
          <w:rFonts w:ascii="Arial Narrow" w:hAnsi="Arial Narrow"/>
          <w:b/>
          <w:sz w:val="23"/>
          <w:szCs w:val="23"/>
        </w:rPr>
        <w:t xml:space="preserve"> contrôle / </w:t>
      </w:r>
      <w:r w:rsidR="003F0ADC">
        <w:rPr>
          <w:rFonts w:ascii="Arial Narrow" w:hAnsi="Arial Narrow"/>
          <w:b/>
          <w:sz w:val="23"/>
          <w:szCs w:val="23"/>
        </w:rPr>
        <w:t>d’</w:t>
      </w:r>
      <w:r w:rsidR="000C4451" w:rsidRPr="00D72387">
        <w:rPr>
          <w:rFonts w:ascii="Arial Narrow" w:hAnsi="Arial Narrow"/>
          <w:b/>
          <w:sz w:val="23"/>
          <w:szCs w:val="23"/>
        </w:rPr>
        <w:t>arrêt (</w:t>
      </w:r>
      <w:r w:rsidRPr="00D72387">
        <w:rPr>
          <w:rFonts w:ascii="Arial Narrow" w:hAnsi="Arial Narrow"/>
          <w:b/>
          <w:sz w:val="23"/>
          <w:szCs w:val="23"/>
        </w:rPr>
        <w:t>Hold</w:t>
      </w:r>
      <w:r w:rsidR="00376654" w:rsidRPr="00D72387">
        <w:rPr>
          <w:rFonts w:ascii="Arial Narrow" w:hAnsi="Arial Narrow"/>
          <w:b/>
          <w:sz w:val="23"/>
          <w:szCs w:val="23"/>
        </w:rPr>
        <w:t xml:space="preserve"> Points</w:t>
      </w:r>
      <w:r w:rsidR="000C4451" w:rsidRPr="00D72387">
        <w:rPr>
          <w:rFonts w:ascii="Arial Narrow" w:hAnsi="Arial Narrow"/>
          <w:b/>
          <w:sz w:val="23"/>
          <w:szCs w:val="23"/>
        </w:rPr>
        <w:t>) prévus dans</w:t>
      </w:r>
      <w:r w:rsidRPr="00D72387">
        <w:rPr>
          <w:rFonts w:ascii="Arial Narrow" w:hAnsi="Arial Narrow"/>
          <w:b/>
          <w:sz w:val="23"/>
          <w:szCs w:val="23"/>
        </w:rPr>
        <w:t xml:space="preserve"> la </w:t>
      </w:r>
      <w:r w:rsidR="00AA73B1" w:rsidRPr="00D72387">
        <w:rPr>
          <w:rFonts w:ascii="Arial Narrow" w:hAnsi="Arial Narrow"/>
          <w:b/>
          <w:sz w:val="23"/>
          <w:szCs w:val="23"/>
        </w:rPr>
        <w:t>Nuclear Site License (</w:t>
      </w:r>
      <w:r w:rsidRPr="00D72387">
        <w:rPr>
          <w:rFonts w:ascii="Arial Narrow" w:hAnsi="Arial Narrow"/>
          <w:b/>
          <w:sz w:val="23"/>
          <w:szCs w:val="23"/>
        </w:rPr>
        <w:t>NSL</w:t>
      </w:r>
      <w:r w:rsidR="00AA73B1" w:rsidRPr="00D72387">
        <w:rPr>
          <w:rFonts w:ascii="Arial Narrow" w:hAnsi="Arial Narrow"/>
          <w:b/>
          <w:sz w:val="23"/>
          <w:szCs w:val="23"/>
        </w:rPr>
        <w:t>)</w:t>
      </w:r>
      <w:r w:rsidRPr="00D72387">
        <w:rPr>
          <w:rFonts w:ascii="Arial Narrow" w:hAnsi="Arial Narrow"/>
          <w:b/>
          <w:sz w:val="23"/>
          <w:szCs w:val="23"/>
        </w:rPr>
        <w:t> </w:t>
      </w:r>
      <w:r w:rsidR="000C4451" w:rsidRPr="00D72387">
        <w:rPr>
          <w:rFonts w:ascii="Arial Narrow" w:hAnsi="Arial Narrow"/>
          <w:b/>
          <w:sz w:val="23"/>
          <w:szCs w:val="23"/>
        </w:rPr>
        <w:t>de l’ONR</w:t>
      </w:r>
      <w:r w:rsidRPr="00D72387">
        <w:rPr>
          <w:rFonts w:ascii="Arial Narrow" w:hAnsi="Arial Narrow"/>
          <w:b/>
          <w:sz w:val="23"/>
          <w:szCs w:val="23"/>
        </w:rPr>
        <w:t>?</w:t>
      </w:r>
      <w:r w:rsidRPr="00D72387">
        <w:rPr>
          <w:rFonts w:ascii="Arial Narrow" w:eastAsia="Arial" w:hAnsi="Arial Narrow" w:cs="Arial"/>
          <w:b/>
          <w:sz w:val="23"/>
          <w:szCs w:val="23"/>
          <w:lang w:bidi="ar"/>
        </w:rPr>
        <w:t> </w:t>
      </w:r>
    </w:p>
    <w:p w14:paraId="7095FE75" w14:textId="78CBA4F6" w:rsidR="00487CF3" w:rsidRPr="00D72387" w:rsidRDefault="00487CF3" w:rsidP="00D72387">
      <w:pPr>
        <w:snapToGrid w:val="0"/>
        <w:spacing w:before="120" w:after="0" w:line="240" w:lineRule="auto"/>
        <w:ind w:right="720"/>
        <w:rPr>
          <w:rFonts w:ascii="Arial Narrow" w:hAnsi="Arial Narrow"/>
          <w:sz w:val="23"/>
          <w:szCs w:val="23"/>
        </w:rPr>
      </w:pPr>
      <w:r w:rsidRPr="00D72387">
        <w:rPr>
          <w:rFonts w:ascii="Arial Narrow" w:hAnsi="Arial Narrow"/>
          <w:b/>
          <w:sz w:val="23"/>
          <w:szCs w:val="23"/>
        </w:rPr>
        <w:t>En l’absence de solu</w:t>
      </w:r>
      <w:r w:rsidR="00AA73B1" w:rsidRPr="00D72387">
        <w:rPr>
          <w:rFonts w:ascii="Arial Narrow" w:hAnsi="Arial Narrow"/>
          <w:b/>
          <w:sz w:val="23"/>
          <w:szCs w:val="23"/>
        </w:rPr>
        <w:t xml:space="preserve">tions satisfaisantes </w:t>
      </w:r>
      <w:r w:rsidRPr="00D72387">
        <w:rPr>
          <w:rFonts w:ascii="Arial Narrow" w:hAnsi="Arial Narrow"/>
          <w:b/>
          <w:sz w:val="23"/>
          <w:szCs w:val="23"/>
        </w:rPr>
        <w:t xml:space="preserve">au sujet des </w:t>
      </w:r>
      <w:r w:rsidR="003F0ADC">
        <w:rPr>
          <w:rFonts w:ascii="Arial Narrow" w:hAnsi="Arial Narrow"/>
          <w:b/>
          <w:sz w:val="23"/>
          <w:szCs w:val="23"/>
        </w:rPr>
        <w:t>GDA issues &amp;</w:t>
      </w:r>
      <w:r w:rsidR="00AA73B1" w:rsidRPr="00D72387">
        <w:rPr>
          <w:rFonts w:ascii="Arial Narrow" w:hAnsi="Arial Narrow"/>
          <w:b/>
          <w:sz w:val="23"/>
          <w:szCs w:val="23"/>
        </w:rPr>
        <w:t xml:space="preserve"> </w:t>
      </w:r>
      <w:r w:rsidR="003F0ADC">
        <w:rPr>
          <w:rFonts w:ascii="Arial Narrow" w:hAnsi="Arial Narrow"/>
          <w:b/>
          <w:sz w:val="23"/>
          <w:szCs w:val="23"/>
        </w:rPr>
        <w:t>Resolution Plan</w:t>
      </w:r>
      <w:r w:rsidRPr="00D72387">
        <w:rPr>
          <w:rFonts w:ascii="Arial Narrow" w:hAnsi="Arial Narrow"/>
          <w:b/>
          <w:sz w:val="23"/>
          <w:szCs w:val="23"/>
        </w:rPr>
        <w:t xml:space="preserve"> des Assessment Findings, n’y-a-t-il pas un risque de blocage </w:t>
      </w:r>
      <w:r w:rsidR="003F0ADC">
        <w:rPr>
          <w:rFonts w:ascii="Arial Narrow" w:hAnsi="Arial Narrow"/>
          <w:b/>
          <w:sz w:val="23"/>
          <w:szCs w:val="23"/>
        </w:rPr>
        <w:t xml:space="preserve">/ stop </w:t>
      </w:r>
      <w:r w:rsidR="00960433">
        <w:rPr>
          <w:rFonts w:ascii="Arial Narrow" w:hAnsi="Arial Narrow"/>
          <w:b/>
          <w:sz w:val="23"/>
          <w:szCs w:val="23"/>
        </w:rPr>
        <w:t xml:space="preserve">de planning, </w:t>
      </w:r>
      <w:r w:rsidR="00AA73B1" w:rsidRPr="00D72387">
        <w:rPr>
          <w:rFonts w:ascii="Arial Narrow" w:hAnsi="Arial Narrow"/>
          <w:b/>
          <w:sz w:val="23"/>
          <w:szCs w:val="23"/>
        </w:rPr>
        <w:t>par l’ONR</w:t>
      </w:r>
      <w:r w:rsidR="00960433">
        <w:rPr>
          <w:rFonts w:ascii="Arial Narrow" w:hAnsi="Arial Narrow"/>
          <w:b/>
          <w:sz w:val="23"/>
          <w:szCs w:val="23"/>
        </w:rPr>
        <w:t>,</w:t>
      </w:r>
      <w:r w:rsidR="00AA73B1" w:rsidRPr="00D72387">
        <w:rPr>
          <w:rFonts w:ascii="Arial Narrow" w:hAnsi="Arial Narrow"/>
          <w:b/>
          <w:sz w:val="23"/>
          <w:szCs w:val="23"/>
        </w:rPr>
        <w:t xml:space="preserve"> </w:t>
      </w:r>
      <w:r w:rsidRPr="00D72387">
        <w:rPr>
          <w:rFonts w:ascii="Arial Narrow" w:hAnsi="Arial Narrow"/>
          <w:b/>
          <w:sz w:val="23"/>
          <w:szCs w:val="23"/>
        </w:rPr>
        <w:t>lor</w:t>
      </w:r>
      <w:r w:rsidR="00AA73B1" w:rsidRPr="00D72387">
        <w:rPr>
          <w:rFonts w:ascii="Arial Narrow" w:hAnsi="Arial Narrow"/>
          <w:b/>
          <w:sz w:val="23"/>
          <w:szCs w:val="23"/>
        </w:rPr>
        <w:t>s des Hold Points ? Et,</w:t>
      </w:r>
      <w:r w:rsidRPr="00D72387">
        <w:rPr>
          <w:rFonts w:ascii="Arial Narrow" w:hAnsi="Arial Narrow"/>
          <w:b/>
          <w:sz w:val="23"/>
          <w:szCs w:val="23"/>
        </w:rPr>
        <w:t xml:space="preserve"> un risque de faire dévier le calendrier de HPC et de glisser jusqu’à la date de résiliation progressive du CfD (2030 / 2033)?</w:t>
      </w:r>
    </w:p>
    <w:p w14:paraId="4173D0AA" w14:textId="77777777" w:rsidR="00487CF3" w:rsidRPr="00D72387" w:rsidRDefault="00487CF3" w:rsidP="00D72387">
      <w:pPr>
        <w:spacing w:before="120" w:after="0" w:line="240" w:lineRule="auto"/>
        <w:jc w:val="both"/>
        <w:rPr>
          <w:rFonts w:ascii="Arial Narrow" w:hAnsi="Arial Narrow" w:cs="Times New Roman"/>
          <w:sz w:val="23"/>
          <w:szCs w:val="23"/>
        </w:rPr>
      </w:pPr>
    </w:p>
    <w:p w14:paraId="4D9D1931" w14:textId="435305E7" w:rsidR="00487CF3" w:rsidRPr="00D72387" w:rsidRDefault="004B32B8" w:rsidP="00D72387">
      <w:pPr>
        <w:pStyle w:val="Paragraphedeliste"/>
        <w:numPr>
          <w:ilvl w:val="0"/>
          <w:numId w:val="2"/>
        </w:numPr>
        <w:snapToGrid w:val="0"/>
        <w:spacing w:before="120" w:after="0" w:line="240" w:lineRule="auto"/>
        <w:ind w:left="284" w:hanging="284"/>
        <w:contextualSpacing w:val="0"/>
        <w:jc w:val="both"/>
        <w:rPr>
          <w:rFonts w:ascii="Arial Narrow" w:eastAsia="Arial" w:hAnsi="Arial Narrow" w:cs="Times New Roman"/>
          <w:bCs/>
          <w:sz w:val="23"/>
          <w:szCs w:val="23"/>
        </w:rPr>
      </w:pPr>
      <w:r w:rsidRPr="00D72387">
        <w:rPr>
          <w:rFonts w:ascii="Arial Narrow" w:hAnsi="Arial Narrow" w:cs="Times New Roman"/>
          <w:b/>
          <w:sz w:val="23"/>
          <w:szCs w:val="23"/>
        </w:rPr>
        <w:t>S’agissant de la gouvernance</w:t>
      </w:r>
      <w:r w:rsidR="00487CF3" w:rsidRPr="00D72387">
        <w:rPr>
          <w:rFonts w:ascii="Arial Narrow" w:hAnsi="Arial Narrow" w:cs="Times New Roman"/>
          <w:b/>
          <w:sz w:val="23"/>
          <w:szCs w:val="23"/>
        </w:rPr>
        <w:t> :</w:t>
      </w:r>
    </w:p>
    <w:p w14:paraId="159FBF9E" w14:textId="77777777" w:rsidR="009477BF" w:rsidRPr="00D72387" w:rsidRDefault="009477BF" w:rsidP="00D72387">
      <w:pPr>
        <w:pStyle w:val="Paragraphedeliste"/>
        <w:snapToGrid w:val="0"/>
        <w:spacing w:before="120" w:after="0" w:line="240" w:lineRule="auto"/>
        <w:ind w:left="0" w:right="720"/>
        <w:contextualSpacing w:val="0"/>
        <w:rPr>
          <w:rFonts w:ascii="Arial Narrow" w:hAnsi="Arial Narrow"/>
          <w:sz w:val="23"/>
          <w:szCs w:val="23"/>
        </w:rPr>
      </w:pPr>
      <w:r w:rsidRPr="00D72387">
        <w:rPr>
          <w:rFonts w:ascii="Arial Narrow" w:hAnsi="Arial Narrow"/>
          <w:sz w:val="23"/>
          <w:szCs w:val="23"/>
        </w:rPr>
        <w:t>En mars 2018 : l’inspecteur en chef de l’ONR attribue une note globale « ambre » (inférieure au standard), au terme de la surveillance entreprise sur les activités d’approvisionnement et sur la conduite stratégique et opérationnelle du projet en France et en UK.</w:t>
      </w:r>
    </w:p>
    <w:p w14:paraId="16AFC5E5" w14:textId="26B3C40A" w:rsidR="004B32B8" w:rsidRPr="00D72387" w:rsidRDefault="00960433" w:rsidP="00D72387">
      <w:pPr>
        <w:pStyle w:val="Paragraphedeliste"/>
        <w:snapToGrid w:val="0"/>
        <w:spacing w:before="120" w:after="0" w:line="240" w:lineRule="auto"/>
        <w:ind w:left="0"/>
        <w:contextualSpacing w:val="0"/>
        <w:jc w:val="both"/>
        <w:rPr>
          <w:rFonts w:ascii="Arial Narrow" w:eastAsia="Arial" w:hAnsi="Arial Narrow" w:cs="Times New Roman"/>
          <w:b/>
          <w:bCs/>
          <w:sz w:val="23"/>
          <w:szCs w:val="23"/>
        </w:rPr>
      </w:pPr>
      <w:r>
        <w:rPr>
          <w:rFonts w:ascii="Arial Narrow" w:eastAsia="Arial" w:hAnsi="Arial Narrow" w:cs="Times New Roman"/>
          <w:b/>
          <w:bCs/>
          <w:sz w:val="23"/>
          <w:szCs w:val="23"/>
        </w:rPr>
        <w:t xml:space="preserve">En janvier 2019, </w:t>
      </w:r>
      <w:r w:rsidR="004B32B8" w:rsidRPr="00D72387">
        <w:rPr>
          <w:rFonts w:ascii="Arial Narrow" w:eastAsia="Arial" w:hAnsi="Arial Narrow" w:cs="Times New Roman"/>
          <w:b/>
          <w:bCs/>
          <w:sz w:val="23"/>
          <w:szCs w:val="23"/>
        </w:rPr>
        <w:t xml:space="preserve">3 ans après le constat établi par le rapport d’Escatha et 2 ans </w:t>
      </w:r>
      <w:r w:rsidR="00274E49" w:rsidRPr="00D72387">
        <w:rPr>
          <w:rFonts w:ascii="Arial Narrow" w:eastAsia="Arial" w:hAnsi="Arial Narrow" w:cs="Times New Roman"/>
          <w:b/>
          <w:bCs/>
          <w:sz w:val="23"/>
          <w:szCs w:val="23"/>
        </w:rPr>
        <w:t xml:space="preserve">½ </w:t>
      </w:r>
      <w:r w:rsidR="004B32B8" w:rsidRPr="00D72387">
        <w:rPr>
          <w:rFonts w:ascii="Arial Narrow" w:eastAsia="Arial" w:hAnsi="Arial Narrow" w:cs="Times New Roman"/>
          <w:b/>
          <w:bCs/>
          <w:sz w:val="23"/>
          <w:szCs w:val="23"/>
        </w:rPr>
        <w:t>après la FID, quelle est votre appréciation de la gouvernance du projet</w:t>
      </w:r>
      <w:r w:rsidR="009477BF" w:rsidRPr="00D72387">
        <w:rPr>
          <w:rFonts w:ascii="Arial Narrow" w:eastAsia="Arial" w:hAnsi="Arial Narrow" w:cs="Times New Roman"/>
          <w:b/>
          <w:bCs/>
          <w:sz w:val="23"/>
          <w:szCs w:val="23"/>
        </w:rPr>
        <w:t> ?</w:t>
      </w:r>
    </w:p>
    <w:p w14:paraId="2CBDA823" w14:textId="77777777" w:rsidR="00B8034F" w:rsidRPr="00D72387" w:rsidRDefault="00B8034F" w:rsidP="00D72387">
      <w:pPr>
        <w:snapToGrid w:val="0"/>
        <w:spacing w:before="120" w:after="0" w:line="240" w:lineRule="auto"/>
        <w:jc w:val="both"/>
        <w:rPr>
          <w:rFonts w:ascii="Arial Narrow" w:eastAsia="Arial" w:hAnsi="Arial Narrow" w:cs="Times New Roman"/>
          <w:bCs/>
          <w:sz w:val="23"/>
          <w:szCs w:val="23"/>
        </w:rPr>
      </w:pPr>
    </w:p>
    <w:p w14:paraId="552284E0" w14:textId="0EB383DA" w:rsidR="008E1209" w:rsidRPr="00D72387" w:rsidRDefault="00960433" w:rsidP="00D72387">
      <w:pPr>
        <w:pStyle w:val="Paragraphedeliste"/>
        <w:numPr>
          <w:ilvl w:val="0"/>
          <w:numId w:val="2"/>
        </w:numPr>
        <w:snapToGrid w:val="0"/>
        <w:spacing w:before="120" w:after="0" w:line="240" w:lineRule="auto"/>
        <w:ind w:left="0" w:firstLine="0"/>
        <w:contextualSpacing w:val="0"/>
        <w:jc w:val="both"/>
        <w:rPr>
          <w:rFonts w:ascii="Arial Narrow" w:hAnsi="Arial Narrow" w:cs="Times New Roman"/>
          <w:b/>
          <w:sz w:val="23"/>
          <w:szCs w:val="23"/>
        </w:rPr>
      </w:pPr>
      <w:r>
        <w:rPr>
          <w:rFonts w:ascii="Arial Narrow" w:hAnsi="Arial Narrow" w:cs="Times New Roman"/>
          <w:b/>
          <w:sz w:val="23"/>
          <w:szCs w:val="23"/>
        </w:rPr>
        <w:t>Par ailleurs, même si cela ne figur</w:t>
      </w:r>
      <w:r w:rsidR="008E1209" w:rsidRPr="00D72387">
        <w:rPr>
          <w:rFonts w:ascii="Arial Narrow" w:hAnsi="Arial Narrow" w:cs="Times New Roman"/>
          <w:b/>
          <w:sz w:val="23"/>
          <w:szCs w:val="23"/>
        </w:rPr>
        <w:t>ait pas, et pour cause</w:t>
      </w:r>
      <w:r>
        <w:rPr>
          <w:rFonts w:ascii="Arial Narrow" w:hAnsi="Arial Narrow" w:cs="Times New Roman"/>
          <w:b/>
          <w:sz w:val="23"/>
          <w:szCs w:val="23"/>
        </w:rPr>
        <w:t>,</w:t>
      </w:r>
      <w:r w:rsidR="008E1209" w:rsidRPr="00D72387">
        <w:rPr>
          <w:rFonts w:ascii="Arial Narrow" w:hAnsi="Arial Narrow" w:cs="Times New Roman"/>
          <w:b/>
          <w:sz w:val="23"/>
          <w:szCs w:val="23"/>
        </w:rPr>
        <w:t xml:space="preserve"> dans le rapport d’Escatha, le Brexit assorti d’une sortie du </w:t>
      </w:r>
      <w:r w:rsidR="003F0ADC">
        <w:rPr>
          <w:rFonts w:ascii="Arial Narrow" w:hAnsi="Arial Narrow" w:cs="Times New Roman"/>
          <w:b/>
          <w:sz w:val="23"/>
          <w:szCs w:val="23"/>
        </w:rPr>
        <w:t>Royaume-Uni</w:t>
      </w:r>
      <w:r w:rsidR="008E1209" w:rsidRPr="00D72387">
        <w:rPr>
          <w:rFonts w:ascii="Arial Narrow" w:hAnsi="Arial Narrow" w:cs="Times New Roman"/>
          <w:b/>
          <w:sz w:val="23"/>
          <w:szCs w:val="23"/>
        </w:rPr>
        <w:t xml:space="preserve"> du Traité Euratom </w:t>
      </w:r>
      <w:r w:rsidR="00216907" w:rsidRPr="00D72387">
        <w:rPr>
          <w:rFonts w:ascii="Arial Narrow" w:hAnsi="Arial Narrow" w:cs="Times New Roman"/>
          <w:b/>
          <w:sz w:val="23"/>
          <w:szCs w:val="23"/>
        </w:rPr>
        <w:t>et</w:t>
      </w:r>
      <w:r w:rsidR="003F0ADC">
        <w:rPr>
          <w:rFonts w:ascii="Arial Narrow" w:hAnsi="Arial Narrow" w:cs="Times New Roman"/>
          <w:b/>
          <w:sz w:val="23"/>
          <w:szCs w:val="23"/>
        </w:rPr>
        <w:t>, le cas échéant,</w:t>
      </w:r>
      <w:r w:rsidR="00216907" w:rsidRPr="00D72387">
        <w:rPr>
          <w:rFonts w:ascii="Arial Narrow" w:hAnsi="Arial Narrow" w:cs="Times New Roman"/>
          <w:b/>
          <w:sz w:val="23"/>
          <w:szCs w:val="23"/>
        </w:rPr>
        <w:t xml:space="preserve"> de la Cour Européenne de Justice (CJE)</w:t>
      </w:r>
      <w:r>
        <w:rPr>
          <w:rFonts w:ascii="Arial Narrow" w:hAnsi="Arial Narrow" w:cs="Times New Roman"/>
          <w:b/>
          <w:sz w:val="23"/>
          <w:szCs w:val="23"/>
        </w:rPr>
        <w:t>,</w:t>
      </w:r>
      <w:r w:rsidR="00216907" w:rsidRPr="00D72387">
        <w:rPr>
          <w:rFonts w:ascii="Arial Narrow" w:hAnsi="Arial Narrow" w:cs="Times New Roman"/>
          <w:b/>
          <w:sz w:val="23"/>
          <w:szCs w:val="23"/>
        </w:rPr>
        <w:t xml:space="preserve"> </w:t>
      </w:r>
      <w:r w:rsidR="008E1209" w:rsidRPr="00D72387">
        <w:rPr>
          <w:rFonts w:ascii="Arial Narrow" w:hAnsi="Arial Narrow" w:cs="Times New Roman"/>
          <w:b/>
          <w:sz w:val="23"/>
          <w:szCs w:val="23"/>
        </w:rPr>
        <w:t>a des incidences juridiques et pratiques que nous demandons à l’entreprise de préciser ici.</w:t>
      </w:r>
    </w:p>
    <w:p w14:paraId="66FB9258" w14:textId="0644546C" w:rsidR="00242320" w:rsidRPr="00D72387" w:rsidRDefault="008E1209" w:rsidP="00D72387">
      <w:pPr>
        <w:spacing w:before="120" w:after="0" w:line="240" w:lineRule="auto"/>
        <w:jc w:val="both"/>
        <w:rPr>
          <w:rFonts w:ascii="Arial Narrow" w:hAnsi="Arial Narrow" w:cs="Times New Roman"/>
          <w:sz w:val="23"/>
          <w:szCs w:val="23"/>
        </w:rPr>
      </w:pPr>
      <w:r w:rsidRPr="00D72387">
        <w:rPr>
          <w:rFonts w:ascii="Arial Narrow" w:hAnsi="Arial Narrow" w:cs="Times New Roman"/>
          <w:sz w:val="23"/>
          <w:szCs w:val="23"/>
        </w:rPr>
        <w:t xml:space="preserve">Nous attendons des réponses précises </w:t>
      </w:r>
      <w:r w:rsidR="009B49AC" w:rsidRPr="00D72387">
        <w:rPr>
          <w:rFonts w:ascii="Arial Narrow" w:hAnsi="Arial Narrow" w:cs="Times New Roman"/>
          <w:sz w:val="23"/>
          <w:szCs w:val="23"/>
        </w:rPr>
        <w:t>(le cas échéant</w:t>
      </w:r>
      <w:r w:rsidR="006C5173" w:rsidRPr="00D72387">
        <w:rPr>
          <w:rFonts w:ascii="Arial Narrow" w:hAnsi="Arial Narrow" w:cs="Times New Roman"/>
          <w:sz w:val="23"/>
          <w:szCs w:val="23"/>
        </w:rPr>
        <w:t>, par écrit</w:t>
      </w:r>
      <w:r w:rsidR="009B49AC" w:rsidRPr="00D72387">
        <w:rPr>
          <w:rFonts w:ascii="Arial Narrow" w:hAnsi="Arial Narrow" w:cs="Times New Roman"/>
          <w:sz w:val="23"/>
          <w:szCs w:val="23"/>
        </w:rPr>
        <w:t xml:space="preserve">) </w:t>
      </w:r>
      <w:r w:rsidRPr="00D72387">
        <w:rPr>
          <w:rFonts w:ascii="Arial Narrow" w:hAnsi="Arial Narrow" w:cs="Times New Roman"/>
          <w:sz w:val="23"/>
          <w:szCs w:val="23"/>
        </w:rPr>
        <w:t>à ces questions importantes pour la réussite du projet.</w:t>
      </w:r>
    </w:p>
    <w:p w14:paraId="2F27CF2C" w14:textId="77777777" w:rsidR="00524523" w:rsidRPr="00D72387" w:rsidRDefault="00524523" w:rsidP="00D72387">
      <w:pPr>
        <w:spacing w:before="120" w:after="0" w:line="240" w:lineRule="auto"/>
        <w:jc w:val="both"/>
        <w:rPr>
          <w:rFonts w:ascii="Arial Narrow" w:hAnsi="Arial Narrow" w:cs="Times New Roman"/>
          <w:sz w:val="23"/>
          <w:szCs w:val="23"/>
        </w:rPr>
      </w:pPr>
    </w:p>
    <w:p w14:paraId="62C8A084" w14:textId="22C28D6D" w:rsidR="008E1209" w:rsidRPr="00D72387" w:rsidRDefault="00212337" w:rsidP="00D72387">
      <w:pPr>
        <w:pStyle w:val="Paragraphedeliste"/>
        <w:spacing w:before="120" w:after="0" w:line="240" w:lineRule="auto"/>
        <w:ind w:left="0"/>
        <w:contextualSpacing w:val="0"/>
        <w:jc w:val="both"/>
        <w:rPr>
          <w:rFonts w:ascii="Arial Narrow" w:hAnsi="Arial Narrow" w:cs="Times New Roman"/>
          <w:sz w:val="23"/>
          <w:szCs w:val="23"/>
        </w:rPr>
      </w:pPr>
      <w:r w:rsidRPr="00D72387">
        <w:rPr>
          <w:rFonts w:ascii="Arial Narrow" w:hAnsi="Arial Narrow" w:cs="Times New Roman"/>
          <w:b/>
          <w:color w:val="0070C0"/>
          <w:sz w:val="23"/>
          <w:szCs w:val="23"/>
        </w:rPr>
        <w:t>5</w:t>
      </w:r>
      <w:r w:rsidR="008B23DE" w:rsidRPr="00D72387">
        <w:rPr>
          <w:rFonts w:ascii="Arial Narrow" w:hAnsi="Arial Narrow" w:cs="Times New Roman"/>
          <w:b/>
          <w:color w:val="0070C0"/>
          <w:sz w:val="23"/>
          <w:szCs w:val="23"/>
        </w:rPr>
        <w:t>.</w:t>
      </w:r>
      <w:r w:rsidRPr="00D72387">
        <w:rPr>
          <w:rFonts w:ascii="Arial Narrow" w:hAnsi="Arial Narrow" w:cs="Times New Roman"/>
          <w:color w:val="0070C0"/>
          <w:sz w:val="23"/>
          <w:szCs w:val="23"/>
        </w:rPr>
        <w:t xml:space="preserve"> </w:t>
      </w:r>
      <w:r w:rsidR="008E1209" w:rsidRPr="00D72387">
        <w:rPr>
          <w:rFonts w:ascii="Arial Narrow" w:hAnsi="Arial Narrow" w:cs="Times New Roman"/>
          <w:sz w:val="23"/>
          <w:szCs w:val="23"/>
        </w:rPr>
        <w:t>Mais au-delà de ces aspects, nous voulons souligner deux aspects fondamentaux.</w:t>
      </w:r>
    </w:p>
    <w:p w14:paraId="5C283C52" w14:textId="77777777" w:rsidR="008E1209" w:rsidRPr="00D72387" w:rsidRDefault="008E1209" w:rsidP="00D72387">
      <w:pPr>
        <w:pStyle w:val="Paragraphedeliste"/>
        <w:spacing w:before="120" w:after="0" w:line="240" w:lineRule="auto"/>
        <w:contextualSpacing w:val="0"/>
        <w:jc w:val="both"/>
        <w:rPr>
          <w:rFonts w:ascii="Arial Narrow" w:hAnsi="Arial Narrow" w:cs="Times New Roman"/>
          <w:sz w:val="23"/>
          <w:szCs w:val="23"/>
        </w:rPr>
      </w:pPr>
    </w:p>
    <w:p w14:paraId="6117FE67" w14:textId="5CE9015A" w:rsidR="008E1209" w:rsidRPr="004F3410" w:rsidRDefault="008E1209" w:rsidP="004F3410">
      <w:pPr>
        <w:pStyle w:val="Paragraphedeliste"/>
        <w:numPr>
          <w:ilvl w:val="0"/>
          <w:numId w:val="2"/>
        </w:numPr>
        <w:spacing w:before="120" w:after="0" w:line="240" w:lineRule="auto"/>
        <w:ind w:left="0" w:firstLine="0"/>
        <w:contextualSpacing w:val="0"/>
        <w:jc w:val="both"/>
        <w:rPr>
          <w:rFonts w:ascii="Arial Narrow" w:hAnsi="Arial Narrow" w:cs="Times New Roman"/>
          <w:sz w:val="23"/>
          <w:szCs w:val="23"/>
        </w:rPr>
      </w:pPr>
      <w:r w:rsidRPr="00D72387">
        <w:rPr>
          <w:rFonts w:ascii="Arial Narrow" w:hAnsi="Arial Narrow" w:cs="Times New Roman"/>
          <w:b/>
          <w:sz w:val="23"/>
          <w:szCs w:val="23"/>
        </w:rPr>
        <w:t xml:space="preserve">S’agissant du droit des CE et </w:t>
      </w:r>
      <w:r w:rsidR="00960433">
        <w:rPr>
          <w:rFonts w:ascii="Arial Narrow" w:hAnsi="Arial Narrow" w:cs="Times New Roman"/>
          <w:b/>
          <w:sz w:val="23"/>
          <w:szCs w:val="23"/>
        </w:rPr>
        <w:t xml:space="preserve">du </w:t>
      </w:r>
      <w:r w:rsidRPr="00D72387">
        <w:rPr>
          <w:rFonts w:ascii="Arial Narrow" w:hAnsi="Arial Narrow" w:cs="Times New Roman"/>
          <w:b/>
          <w:sz w:val="23"/>
          <w:szCs w:val="23"/>
        </w:rPr>
        <w:t>CCE</w:t>
      </w:r>
      <w:r w:rsidRPr="00D72387">
        <w:rPr>
          <w:rFonts w:ascii="Arial Narrow" w:hAnsi="Arial Narrow" w:cs="Times New Roman"/>
          <w:sz w:val="23"/>
          <w:szCs w:val="23"/>
        </w:rPr>
        <w:t>, durement impactés par les lois Rebsamen et Macron, nous considérons que l’arrêt de la CA Paris sur HPC est un signe que l’affaiblissement des IRP voulue par les gouvernements successifs rencontre des résistances. Certes, dans le cas d’HPC, la décision a été prise</w:t>
      </w:r>
      <w:r w:rsidR="007C13B4">
        <w:rPr>
          <w:rFonts w:ascii="Arial Narrow" w:hAnsi="Arial Narrow" w:cs="Times New Roman"/>
          <w:sz w:val="23"/>
          <w:szCs w:val="23"/>
        </w:rPr>
        <w:t>,</w:t>
      </w:r>
      <w:r w:rsidRPr="00D72387">
        <w:rPr>
          <w:rFonts w:ascii="Arial Narrow" w:hAnsi="Arial Narrow" w:cs="Times New Roman"/>
          <w:sz w:val="23"/>
          <w:szCs w:val="23"/>
        </w:rPr>
        <w:t xml:space="preserve"> mais </w:t>
      </w:r>
      <w:r w:rsidR="00F52CD8" w:rsidRPr="00D72387">
        <w:rPr>
          <w:rFonts w:ascii="Arial Narrow" w:hAnsi="Arial Narrow" w:cs="Times New Roman"/>
          <w:sz w:val="23"/>
          <w:szCs w:val="23"/>
        </w:rPr>
        <w:t xml:space="preserve">nous voulons croire que </w:t>
      </w:r>
      <w:r w:rsidRPr="00D72387">
        <w:rPr>
          <w:rFonts w:ascii="Arial Narrow" w:hAnsi="Arial Narrow" w:cs="Times New Roman"/>
          <w:sz w:val="23"/>
          <w:szCs w:val="23"/>
        </w:rPr>
        <w:t>cet arrêt marque</w:t>
      </w:r>
      <w:r w:rsidR="00F52CD8" w:rsidRPr="00D72387">
        <w:rPr>
          <w:rFonts w:ascii="Arial Narrow" w:hAnsi="Arial Narrow" w:cs="Times New Roman"/>
          <w:sz w:val="23"/>
          <w:szCs w:val="23"/>
        </w:rPr>
        <w:t>ra</w:t>
      </w:r>
      <w:r w:rsidRPr="00D72387">
        <w:rPr>
          <w:rFonts w:ascii="Arial Narrow" w:hAnsi="Arial Narrow" w:cs="Times New Roman"/>
          <w:sz w:val="23"/>
          <w:szCs w:val="23"/>
        </w:rPr>
        <w:t xml:space="preserve"> pour l’avenir le début d’une reconquête du droit des CE et </w:t>
      </w:r>
      <w:r w:rsidR="007C13B4">
        <w:rPr>
          <w:rFonts w:ascii="Arial Narrow" w:hAnsi="Arial Narrow" w:cs="Times New Roman"/>
          <w:sz w:val="23"/>
          <w:szCs w:val="23"/>
        </w:rPr>
        <w:t xml:space="preserve">du </w:t>
      </w:r>
      <w:r w:rsidRPr="00D72387">
        <w:rPr>
          <w:rFonts w:ascii="Arial Narrow" w:hAnsi="Arial Narrow" w:cs="Times New Roman"/>
          <w:sz w:val="23"/>
          <w:szCs w:val="23"/>
        </w:rPr>
        <w:t>CCE à obtenir une information suffisante sans qu’</w:t>
      </w:r>
      <w:r w:rsidR="00F52CD8" w:rsidRPr="00D72387">
        <w:rPr>
          <w:rFonts w:ascii="Arial Narrow" w:hAnsi="Arial Narrow" w:cs="Times New Roman"/>
          <w:sz w:val="23"/>
          <w:szCs w:val="23"/>
        </w:rPr>
        <w:t>on puisse leur</w:t>
      </w:r>
      <w:r w:rsidRPr="00D72387">
        <w:rPr>
          <w:rFonts w:ascii="Arial Narrow" w:hAnsi="Arial Narrow" w:cs="Times New Roman"/>
          <w:sz w:val="23"/>
          <w:szCs w:val="23"/>
        </w:rPr>
        <w:t xml:space="preserve"> objecter ces contraintes inacceptables de délai.</w:t>
      </w:r>
    </w:p>
    <w:p w14:paraId="4B492EF6" w14:textId="01724EFC" w:rsidR="008E1209" w:rsidRPr="00D72387" w:rsidRDefault="008E1209" w:rsidP="00D72387">
      <w:pPr>
        <w:pStyle w:val="Paragraphedeliste"/>
        <w:spacing w:before="120" w:after="0" w:line="240" w:lineRule="auto"/>
        <w:ind w:left="0"/>
        <w:contextualSpacing w:val="0"/>
        <w:jc w:val="both"/>
        <w:rPr>
          <w:rFonts w:ascii="Arial Narrow" w:hAnsi="Arial Narrow" w:cs="Times New Roman"/>
          <w:sz w:val="23"/>
          <w:szCs w:val="23"/>
        </w:rPr>
      </w:pPr>
      <w:r w:rsidRPr="00D72387">
        <w:rPr>
          <w:rFonts w:ascii="Arial Narrow" w:hAnsi="Arial Narrow" w:cs="Times New Roman"/>
          <w:sz w:val="23"/>
          <w:szCs w:val="23"/>
        </w:rPr>
        <w:t xml:space="preserve">Et s’agissant d’HPC, nous demandons à la Direction de s’inscrire d’ores et déjà dans une logique de transparence continue pour ce projet </w:t>
      </w:r>
      <w:r w:rsidR="00F52CD8" w:rsidRPr="00D72387">
        <w:rPr>
          <w:rFonts w:ascii="Arial Narrow" w:hAnsi="Arial Narrow" w:cs="Times New Roman"/>
          <w:sz w:val="23"/>
          <w:szCs w:val="23"/>
        </w:rPr>
        <w:t xml:space="preserve">« d’une exceptionnelle importance » et de réunir un CCE extraordinaire sur HPC </w:t>
      </w:r>
      <w:r w:rsidR="00D117B6" w:rsidRPr="00D72387">
        <w:rPr>
          <w:rFonts w:ascii="Arial Narrow" w:hAnsi="Arial Narrow" w:cs="Times New Roman"/>
          <w:sz w:val="23"/>
          <w:szCs w:val="23"/>
        </w:rPr>
        <w:t>lors d’un</w:t>
      </w:r>
      <w:r w:rsidR="00546FB1" w:rsidRPr="00D72387">
        <w:rPr>
          <w:rFonts w:ascii="Arial Narrow" w:hAnsi="Arial Narrow" w:cs="Times New Roman"/>
          <w:sz w:val="23"/>
          <w:szCs w:val="23"/>
        </w:rPr>
        <w:t xml:space="preserve"> prochain Hold Point </w:t>
      </w:r>
      <w:r w:rsidR="00AE7FB0" w:rsidRPr="00D72387">
        <w:rPr>
          <w:rFonts w:ascii="Arial Narrow" w:hAnsi="Arial Narrow" w:cs="Times New Roman"/>
          <w:sz w:val="23"/>
          <w:szCs w:val="23"/>
        </w:rPr>
        <w:t xml:space="preserve">important </w:t>
      </w:r>
      <w:r w:rsidR="009A07A2" w:rsidRPr="00D72387">
        <w:rPr>
          <w:rFonts w:ascii="Arial Narrow" w:hAnsi="Arial Narrow" w:cs="Times New Roman"/>
          <w:sz w:val="23"/>
          <w:szCs w:val="23"/>
        </w:rPr>
        <w:t xml:space="preserve">du NSL </w:t>
      </w:r>
      <w:r w:rsidR="00546FB1" w:rsidRPr="00D72387">
        <w:rPr>
          <w:rFonts w:ascii="Arial Narrow" w:hAnsi="Arial Narrow" w:cs="Times New Roman"/>
          <w:sz w:val="23"/>
          <w:szCs w:val="23"/>
        </w:rPr>
        <w:t>de l’ONR</w:t>
      </w:r>
      <w:r w:rsidR="00D117B6" w:rsidRPr="00D72387">
        <w:rPr>
          <w:rFonts w:ascii="Arial Narrow" w:hAnsi="Arial Narrow" w:cs="Times New Roman"/>
          <w:sz w:val="23"/>
          <w:szCs w:val="23"/>
        </w:rPr>
        <w:t>, comme la</w:t>
      </w:r>
      <w:r w:rsidR="00D117B6" w:rsidRPr="00D72387">
        <w:rPr>
          <w:rFonts w:ascii="Arial Narrow" w:hAnsi="Arial Narrow" w:cs="Times New Roman"/>
          <w:sz w:val="23"/>
          <w:szCs w:val="23"/>
          <w:vertAlign w:val="superscript"/>
        </w:rPr>
        <w:t xml:space="preserve"> </w:t>
      </w:r>
      <w:r w:rsidR="00D117B6" w:rsidRPr="00D72387">
        <w:rPr>
          <w:rFonts w:ascii="Arial Narrow" w:hAnsi="Arial Narrow" w:cs="Times New Roman"/>
          <w:sz w:val="23"/>
          <w:szCs w:val="23"/>
        </w:rPr>
        <w:t xml:space="preserve">livraison </w:t>
      </w:r>
      <w:r w:rsidR="005C40BE" w:rsidRPr="00D72387">
        <w:rPr>
          <w:rFonts w:ascii="Arial Narrow" w:hAnsi="Arial Narrow" w:cs="Times New Roman"/>
          <w:sz w:val="23"/>
          <w:szCs w:val="23"/>
        </w:rPr>
        <w:t xml:space="preserve">sur site </w:t>
      </w:r>
      <w:r w:rsidR="006D7334" w:rsidRPr="00D72387">
        <w:rPr>
          <w:rFonts w:ascii="Arial Narrow" w:hAnsi="Arial Narrow" w:cs="Times New Roman"/>
          <w:sz w:val="23"/>
          <w:szCs w:val="23"/>
        </w:rPr>
        <w:t>d</w:t>
      </w:r>
      <w:r w:rsidR="005C40BE" w:rsidRPr="00D72387">
        <w:rPr>
          <w:rFonts w:ascii="Arial Narrow" w:hAnsi="Arial Narrow" w:cs="Times New Roman"/>
          <w:sz w:val="23"/>
          <w:szCs w:val="23"/>
        </w:rPr>
        <w:t>e</w:t>
      </w:r>
      <w:r w:rsidR="006D7334" w:rsidRPr="00D72387">
        <w:rPr>
          <w:rFonts w:ascii="Arial Narrow" w:hAnsi="Arial Narrow" w:cs="Times New Roman"/>
          <w:sz w:val="23"/>
          <w:szCs w:val="23"/>
        </w:rPr>
        <w:t xml:space="preserve"> composant</w:t>
      </w:r>
      <w:r w:rsidR="00DC5AB8" w:rsidRPr="00D72387">
        <w:rPr>
          <w:rFonts w:ascii="Arial Narrow" w:hAnsi="Arial Narrow" w:cs="Times New Roman"/>
          <w:sz w:val="23"/>
          <w:szCs w:val="23"/>
        </w:rPr>
        <w:t xml:space="preserve"> </w:t>
      </w:r>
      <w:r w:rsidR="005C40BE" w:rsidRPr="00D72387">
        <w:rPr>
          <w:rFonts w:ascii="Arial Narrow" w:hAnsi="Arial Narrow" w:cs="Times New Roman"/>
          <w:sz w:val="23"/>
          <w:szCs w:val="23"/>
        </w:rPr>
        <w:t>du NSSS</w:t>
      </w:r>
      <w:r w:rsidR="00F52CD8" w:rsidRPr="00D72387">
        <w:rPr>
          <w:rFonts w:ascii="Arial Narrow" w:hAnsi="Arial Narrow" w:cs="Times New Roman"/>
          <w:sz w:val="23"/>
          <w:szCs w:val="23"/>
        </w:rPr>
        <w:t>.</w:t>
      </w:r>
    </w:p>
    <w:p w14:paraId="1B0CCC12" w14:textId="2EDB008A" w:rsidR="00F52CD8" w:rsidRPr="00D72387" w:rsidRDefault="00F52CD8" w:rsidP="00D72387">
      <w:pPr>
        <w:pStyle w:val="Paragraphedeliste"/>
        <w:spacing w:before="120" w:after="0" w:line="240" w:lineRule="auto"/>
        <w:contextualSpacing w:val="0"/>
        <w:jc w:val="both"/>
        <w:rPr>
          <w:rFonts w:ascii="Arial Narrow" w:hAnsi="Arial Narrow" w:cs="Times New Roman"/>
          <w:sz w:val="23"/>
          <w:szCs w:val="23"/>
        </w:rPr>
      </w:pPr>
    </w:p>
    <w:p w14:paraId="3B5878D5" w14:textId="04A472DD" w:rsidR="005C3197" w:rsidRPr="00D72387" w:rsidRDefault="00F52CD8" w:rsidP="00D72387">
      <w:pPr>
        <w:pStyle w:val="Paragraphedeliste"/>
        <w:numPr>
          <w:ilvl w:val="0"/>
          <w:numId w:val="2"/>
        </w:numPr>
        <w:spacing w:before="120" w:after="0" w:line="240" w:lineRule="auto"/>
        <w:ind w:left="0" w:firstLine="0"/>
        <w:contextualSpacing w:val="0"/>
        <w:jc w:val="both"/>
        <w:rPr>
          <w:rFonts w:ascii="Arial Narrow" w:hAnsi="Arial Narrow" w:cs="Times New Roman"/>
          <w:sz w:val="23"/>
          <w:szCs w:val="23"/>
        </w:rPr>
      </w:pPr>
      <w:r w:rsidRPr="00D72387">
        <w:rPr>
          <w:rFonts w:ascii="Arial Narrow" w:hAnsi="Arial Narrow" w:cs="Times New Roman"/>
          <w:b/>
          <w:sz w:val="23"/>
          <w:szCs w:val="23"/>
        </w:rPr>
        <w:t>S’agissant du financement du nouveau nucléaire</w:t>
      </w:r>
      <w:r w:rsidRPr="00D72387">
        <w:rPr>
          <w:rFonts w:ascii="Arial Narrow" w:hAnsi="Arial Narrow" w:cs="Times New Roman"/>
          <w:sz w:val="23"/>
          <w:szCs w:val="23"/>
        </w:rPr>
        <w:t xml:space="preserve">, les choses sont aussi en </w:t>
      </w:r>
      <w:r w:rsidR="00E8713D">
        <w:rPr>
          <w:rFonts w:ascii="Arial Narrow" w:hAnsi="Arial Narrow" w:cs="Times New Roman"/>
          <w:sz w:val="23"/>
          <w:szCs w:val="23"/>
        </w:rPr>
        <w:t xml:space="preserve">train de changer. L’abandon en </w:t>
      </w:r>
      <w:r w:rsidRPr="00D72387">
        <w:rPr>
          <w:rFonts w:ascii="Arial Narrow" w:hAnsi="Arial Narrow" w:cs="Times New Roman"/>
          <w:sz w:val="23"/>
          <w:szCs w:val="23"/>
        </w:rPr>
        <w:t>U</w:t>
      </w:r>
      <w:r w:rsidR="00E8713D">
        <w:rPr>
          <w:rFonts w:ascii="Arial Narrow" w:hAnsi="Arial Narrow" w:cs="Times New Roman"/>
          <w:sz w:val="23"/>
          <w:szCs w:val="23"/>
        </w:rPr>
        <w:t>K</w:t>
      </w:r>
      <w:r w:rsidRPr="00D72387">
        <w:rPr>
          <w:rFonts w:ascii="Arial Narrow" w:hAnsi="Arial Narrow" w:cs="Times New Roman"/>
          <w:sz w:val="23"/>
          <w:szCs w:val="23"/>
        </w:rPr>
        <w:t xml:space="preserve"> du projet NuGen par Toshiba et l</w:t>
      </w:r>
      <w:r w:rsidR="00BB4159" w:rsidRPr="00D72387">
        <w:rPr>
          <w:rFonts w:ascii="Arial Narrow" w:hAnsi="Arial Narrow" w:cs="Times New Roman"/>
          <w:sz w:val="23"/>
          <w:szCs w:val="23"/>
        </w:rPr>
        <w:t>a</w:t>
      </w:r>
      <w:r w:rsidRPr="00D72387">
        <w:rPr>
          <w:rFonts w:ascii="Arial Narrow" w:hAnsi="Arial Narrow" w:cs="Times New Roman"/>
          <w:sz w:val="23"/>
          <w:szCs w:val="23"/>
        </w:rPr>
        <w:t xml:space="preserve"> </w:t>
      </w:r>
      <w:r w:rsidR="00BB4159" w:rsidRPr="00D72387">
        <w:rPr>
          <w:rFonts w:ascii="Arial Narrow" w:hAnsi="Arial Narrow" w:cs="Times New Roman"/>
          <w:sz w:val="23"/>
          <w:szCs w:val="23"/>
        </w:rPr>
        <w:t xml:space="preserve">suspension de celui </w:t>
      </w:r>
      <w:r w:rsidRPr="00D72387">
        <w:rPr>
          <w:rFonts w:ascii="Arial Narrow" w:hAnsi="Arial Narrow" w:cs="Times New Roman"/>
          <w:sz w:val="23"/>
          <w:szCs w:val="23"/>
        </w:rPr>
        <w:t>d’Hitac</w:t>
      </w:r>
      <w:r w:rsidR="00BB35F9" w:rsidRPr="00D72387">
        <w:rPr>
          <w:rFonts w:ascii="Arial Narrow" w:hAnsi="Arial Narrow" w:cs="Times New Roman"/>
          <w:sz w:val="23"/>
          <w:szCs w:val="23"/>
        </w:rPr>
        <w:t xml:space="preserve">hi </w:t>
      </w:r>
      <w:r w:rsidR="00C57A12" w:rsidRPr="00D72387">
        <w:rPr>
          <w:rFonts w:ascii="Arial Narrow" w:hAnsi="Arial Narrow" w:cs="Times New Roman"/>
          <w:sz w:val="23"/>
          <w:szCs w:val="23"/>
        </w:rPr>
        <w:t>vont amener nécessairement le gouvernement UK à revoir les règles de financement. Dans ce contexte, il ne faut donc pas rééditer le mode de financement</w:t>
      </w:r>
      <w:r w:rsidRPr="00D72387">
        <w:rPr>
          <w:rFonts w:ascii="Arial Narrow" w:hAnsi="Arial Narrow" w:cs="Times New Roman"/>
          <w:sz w:val="23"/>
          <w:szCs w:val="23"/>
        </w:rPr>
        <w:t xml:space="preserve"> d</w:t>
      </w:r>
      <w:r w:rsidR="00BB4159" w:rsidRPr="00D72387">
        <w:rPr>
          <w:rFonts w:ascii="Arial Narrow" w:hAnsi="Arial Narrow" w:cs="Times New Roman"/>
          <w:sz w:val="23"/>
          <w:szCs w:val="23"/>
        </w:rPr>
        <w:t xml:space="preserve">e </w:t>
      </w:r>
      <w:r w:rsidRPr="00D72387">
        <w:rPr>
          <w:rFonts w:ascii="Arial Narrow" w:hAnsi="Arial Narrow" w:cs="Times New Roman"/>
          <w:sz w:val="23"/>
          <w:szCs w:val="23"/>
        </w:rPr>
        <w:t>HPC</w:t>
      </w:r>
      <w:r w:rsidR="00C57A12" w:rsidRPr="00D72387">
        <w:rPr>
          <w:rFonts w:ascii="Arial Narrow" w:hAnsi="Arial Narrow" w:cs="Times New Roman"/>
          <w:sz w:val="23"/>
          <w:szCs w:val="23"/>
        </w:rPr>
        <w:t>. Car</w:t>
      </w:r>
      <w:r w:rsidRPr="00D72387">
        <w:rPr>
          <w:rFonts w:ascii="Arial Narrow" w:hAnsi="Arial Narrow" w:cs="Times New Roman"/>
          <w:sz w:val="23"/>
          <w:szCs w:val="23"/>
        </w:rPr>
        <w:t xml:space="preserve"> </w:t>
      </w:r>
      <w:r w:rsidR="00BB4159" w:rsidRPr="00D72387">
        <w:rPr>
          <w:rFonts w:ascii="Arial Narrow" w:hAnsi="Arial Narrow" w:cs="Times New Roman"/>
          <w:sz w:val="23"/>
          <w:szCs w:val="23"/>
        </w:rPr>
        <w:t>c</w:t>
      </w:r>
      <w:r w:rsidRPr="00D72387">
        <w:rPr>
          <w:rFonts w:ascii="Arial Narrow" w:hAnsi="Arial Narrow" w:cs="Times New Roman"/>
          <w:sz w:val="23"/>
          <w:szCs w:val="23"/>
        </w:rPr>
        <w:t>e</w:t>
      </w:r>
      <w:r w:rsidR="00E8713D">
        <w:rPr>
          <w:rFonts w:ascii="Arial Narrow" w:hAnsi="Arial Narrow" w:cs="Times New Roman"/>
          <w:sz w:val="23"/>
          <w:szCs w:val="23"/>
        </w:rPr>
        <w:t xml:space="preserve"> mode de</w:t>
      </w:r>
      <w:r w:rsidRPr="00D72387">
        <w:rPr>
          <w:rFonts w:ascii="Arial Narrow" w:hAnsi="Arial Narrow" w:cs="Times New Roman"/>
          <w:sz w:val="23"/>
          <w:szCs w:val="23"/>
        </w:rPr>
        <w:t xml:space="preserve"> financement </w:t>
      </w:r>
      <w:r w:rsidR="00916143" w:rsidRPr="00D72387">
        <w:rPr>
          <w:rFonts w:ascii="Arial Narrow" w:hAnsi="Arial Narrow" w:cs="Times New Roman"/>
          <w:sz w:val="23"/>
          <w:szCs w:val="23"/>
        </w:rPr>
        <w:t xml:space="preserve">corporate </w:t>
      </w:r>
      <w:r w:rsidRPr="00D72387">
        <w:rPr>
          <w:rFonts w:ascii="Arial Narrow" w:hAnsi="Arial Narrow" w:cs="Times New Roman"/>
          <w:sz w:val="23"/>
          <w:szCs w:val="23"/>
        </w:rPr>
        <w:t xml:space="preserve">et les risques </w:t>
      </w:r>
      <w:r w:rsidR="00C57A12" w:rsidRPr="00D72387">
        <w:rPr>
          <w:rFonts w:ascii="Arial Narrow" w:hAnsi="Arial Narrow" w:cs="Times New Roman"/>
          <w:sz w:val="23"/>
          <w:szCs w:val="23"/>
        </w:rPr>
        <w:t>ont</w:t>
      </w:r>
      <w:r w:rsidRPr="00D72387">
        <w:rPr>
          <w:rFonts w:ascii="Arial Narrow" w:hAnsi="Arial Narrow" w:cs="Times New Roman"/>
          <w:sz w:val="23"/>
          <w:szCs w:val="23"/>
        </w:rPr>
        <w:t xml:space="preserve"> pesé sur la seule EDF</w:t>
      </w:r>
      <w:r w:rsidR="00BB4159" w:rsidRPr="00D72387">
        <w:rPr>
          <w:rFonts w:ascii="Arial Narrow" w:hAnsi="Arial Narrow" w:cs="Times New Roman"/>
          <w:sz w:val="23"/>
          <w:szCs w:val="23"/>
        </w:rPr>
        <w:t>,</w:t>
      </w:r>
      <w:r w:rsidR="00BB35F9" w:rsidRPr="00D72387">
        <w:rPr>
          <w:rFonts w:ascii="Arial Narrow" w:hAnsi="Arial Narrow" w:cs="Times New Roman"/>
          <w:sz w:val="23"/>
          <w:szCs w:val="23"/>
        </w:rPr>
        <w:t> </w:t>
      </w:r>
      <w:r w:rsidR="00B944E9" w:rsidRPr="00D72387">
        <w:rPr>
          <w:rFonts w:ascii="Arial Narrow" w:hAnsi="Arial Narrow" w:cs="Times New Roman"/>
          <w:sz w:val="23"/>
          <w:szCs w:val="23"/>
        </w:rPr>
        <w:t xml:space="preserve">et </w:t>
      </w:r>
      <w:r w:rsidR="00C57A12" w:rsidRPr="00D72387">
        <w:rPr>
          <w:rFonts w:ascii="Arial Narrow" w:hAnsi="Arial Narrow" w:cs="Times New Roman"/>
          <w:sz w:val="23"/>
          <w:szCs w:val="23"/>
        </w:rPr>
        <w:t>ceci d’autant plus que les g</w:t>
      </w:r>
      <w:r w:rsidR="00B944E9" w:rsidRPr="00D72387">
        <w:rPr>
          <w:rFonts w:ascii="Arial Narrow" w:hAnsi="Arial Narrow" w:cs="Times New Roman"/>
          <w:sz w:val="23"/>
          <w:szCs w:val="23"/>
        </w:rPr>
        <w:t xml:space="preserve">aranties de prêt du gouvernement britannique </w:t>
      </w:r>
      <w:r w:rsidR="00E8713D">
        <w:rPr>
          <w:rFonts w:ascii="Arial Narrow" w:hAnsi="Arial Narrow" w:cs="Times New Roman"/>
          <w:sz w:val="23"/>
          <w:szCs w:val="23"/>
        </w:rPr>
        <w:t>ont été subordonné</w:t>
      </w:r>
      <w:r w:rsidR="00E8713D" w:rsidRPr="00D72387">
        <w:rPr>
          <w:rFonts w:ascii="Arial Narrow" w:hAnsi="Arial Narrow" w:cs="Times New Roman"/>
          <w:sz w:val="23"/>
          <w:szCs w:val="23"/>
        </w:rPr>
        <w:t>es</w:t>
      </w:r>
      <w:r w:rsidR="00E8713D">
        <w:rPr>
          <w:rFonts w:ascii="Arial Narrow" w:hAnsi="Arial Narrow" w:cs="Times New Roman"/>
          <w:sz w:val="23"/>
          <w:szCs w:val="23"/>
        </w:rPr>
        <w:t xml:space="preserve"> à</w:t>
      </w:r>
      <w:r w:rsidR="00C56AAC">
        <w:rPr>
          <w:rFonts w:ascii="Arial Narrow" w:hAnsi="Arial Narrow" w:cs="Times New Roman"/>
          <w:sz w:val="23"/>
          <w:szCs w:val="23"/>
        </w:rPr>
        <w:t xml:space="preserve"> la</w:t>
      </w:r>
      <w:r w:rsidR="00E8713D">
        <w:rPr>
          <w:rFonts w:ascii="Arial Narrow" w:hAnsi="Arial Narrow" w:cs="Times New Roman"/>
          <w:sz w:val="23"/>
          <w:szCs w:val="23"/>
        </w:rPr>
        <w:t xml:space="preserve"> mise en service</w:t>
      </w:r>
      <w:r w:rsidR="00B944E9" w:rsidRPr="00D72387">
        <w:rPr>
          <w:rFonts w:ascii="Arial Narrow" w:hAnsi="Arial Narrow" w:cs="Times New Roman"/>
          <w:sz w:val="23"/>
          <w:szCs w:val="23"/>
        </w:rPr>
        <w:t xml:space="preserve"> </w:t>
      </w:r>
      <w:r w:rsidR="00C56AAC">
        <w:rPr>
          <w:rFonts w:ascii="Arial Narrow" w:hAnsi="Arial Narrow" w:cs="Times New Roman"/>
          <w:sz w:val="23"/>
          <w:szCs w:val="23"/>
        </w:rPr>
        <w:t xml:space="preserve">préalable </w:t>
      </w:r>
      <w:r w:rsidR="00B944E9" w:rsidRPr="00D72387">
        <w:rPr>
          <w:rFonts w:ascii="Arial Narrow" w:hAnsi="Arial Narrow" w:cs="Times New Roman"/>
          <w:sz w:val="23"/>
          <w:szCs w:val="23"/>
        </w:rPr>
        <w:t xml:space="preserve">de Flamanville </w:t>
      </w:r>
      <w:r w:rsidR="00BB4159" w:rsidRPr="00D72387">
        <w:rPr>
          <w:rFonts w:ascii="Arial Narrow" w:hAnsi="Arial Narrow" w:cs="Times New Roman"/>
          <w:sz w:val="23"/>
          <w:szCs w:val="23"/>
        </w:rPr>
        <w:t>3</w:t>
      </w:r>
      <w:r w:rsidR="00E8713D">
        <w:rPr>
          <w:rFonts w:ascii="Arial Narrow" w:hAnsi="Arial Narrow" w:cs="Times New Roman"/>
          <w:sz w:val="23"/>
          <w:szCs w:val="23"/>
        </w:rPr>
        <w:t>.</w:t>
      </w:r>
      <w:r w:rsidR="00B944E9" w:rsidRPr="00D72387">
        <w:rPr>
          <w:rFonts w:ascii="Arial Narrow" w:hAnsi="Arial Narrow" w:cs="Times New Roman"/>
          <w:sz w:val="23"/>
          <w:szCs w:val="23"/>
        </w:rPr>
        <w:t xml:space="preserve"> Là encore, il va nous falloir en tirer pleinement les leçons !</w:t>
      </w:r>
    </w:p>
    <w:sectPr w:rsidR="005C3197" w:rsidRPr="00D723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1189D" w14:textId="77777777" w:rsidR="0062508C" w:rsidRDefault="0062508C" w:rsidP="008E1209">
      <w:pPr>
        <w:spacing w:after="0" w:line="240" w:lineRule="auto"/>
      </w:pPr>
      <w:r>
        <w:separator/>
      </w:r>
    </w:p>
  </w:endnote>
  <w:endnote w:type="continuationSeparator" w:id="0">
    <w:p w14:paraId="1838D055" w14:textId="77777777" w:rsidR="0062508C" w:rsidRDefault="0062508C" w:rsidP="008E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042758"/>
      <w:docPartObj>
        <w:docPartGallery w:val="Page Numbers (Bottom of Page)"/>
        <w:docPartUnique/>
      </w:docPartObj>
    </w:sdtPr>
    <w:sdtEndPr/>
    <w:sdtContent>
      <w:p w14:paraId="3FFDBD8B" w14:textId="708499CF" w:rsidR="008E1209" w:rsidRDefault="008E1209">
        <w:pPr>
          <w:pStyle w:val="Pieddepage"/>
        </w:pPr>
        <w:r>
          <w:rPr>
            <w:noProof/>
            <w:lang w:eastAsia="fr-FR"/>
          </w:rPr>
          <mc:AlternateContent>
            <mc:Choice Requires="wps">
              <w:drawing>
                <wp:anchor distT="0" distB="0" distL="114300" distR="114300" simplePos="0" relativeHeight="251659264" behindDoc="0" locked="0" layoutInCell="0" allowOverlap="1" wp14:anchorId="0F2C434F" wp14:editId="4ED1ADBC">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01EECDD" w14:textId="53B19D99" w:rsidR="008E1209" w:rsidRDefault="008E1209">
                              <w:pPr>
                                <w:jc w:val="center"/>
                              </w:pPr>
                              <w:r>
                                <w:fldChar w:fldCharType="begin"/>
                              </w:r>
                              <w:r>
                                <w:instrText>PAGE    \* MERGEFORMAT</w:instrText>
                              </w:r>
                              <w:r>
                                <w:fldChar w:fldCharType="separate"/>
                              </w:r>
                              <w:r w:rsidR="006B7CBB" w:rsidRPr="006B7CBB">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C434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14:paraId="301EECDD" w14:textId="53B19D99" w:rsidR="008E1209" w:rsidRDefault="008E1209">
                        <w:pPr>
                          <w:jc w:val="center"/>
                        </w:pPr>
                        <w:r>
                          <w:fldChar w:fldCharType="begin"/>
                        </w:r>
                        <w:r>
                          <w:instrText>PAGE    \* MERGEFORMAT</w:instrText>
                        </w:r>
                        <w:r>
                          <w:fldChar w:fldCharType="separate"/>
                        </w:r>
                        <w:r w:rsidR="006B7CBB" w:rsidRPr="006B7CBB">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0B74B" w14:textId="77777777" w:rsidR="0062508C" w:rsidRDefault="0062508C" w:rsidP="008E1209">
      <w:pPr>
        <w:spacing w:after="0" w:line="240" w:lineRule="auto"/>
      </w:pPr>
      <w:r>
        <w:separator/>
      </w:r>
    </w:p>
  </w:footnote>
  <w:footnote w:type="continuationSeparator" w:id="0">
    <w:p w14:paraId="35C144A2" w14:textId="77777777" w:rsidR="0062508C" w:rsidRDefault="0062508C" w:rsidP="008E1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228"/>
    <w:multiLevelType w:val="hybridMultilevel"/>
    <w:tmpl w:val="305A36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F40325"/>
    <w:multiLevelType w:val="hybridMultilevel"/>
    <w:tmpl w:val="5DEE0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262FE7"/>
    <w:multiLevelType w:val="hybridMultilevel"/>
    <w:tmpl w:val="3FEE1FEA"/>
    <w:lvl w:ilvl="0" w:tplc="C5FC0ECE">
      <w:start w:val="3"/>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1877D9"/>
    <w:multiLevelType w:val="hybridMultilevel"/>
    <w:tmpl w:val="A78A0A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C3"/>
    <w:rsid w:val="00030353"/>
    <w:rsid w:val="0003272B"/>
    <w:rsid w:val="00037835"/>
    <w:rsid w:val="00050B6B"/>
    <w:rsid w:val="00051DB8"/>
    <w:rsid w:val="0008175C"/>
    <w:rsid w:val="000A4CB1"/>
    <w:rsid w:val="000A52E4"/>
    <w:rsid w:val="000C4451"/>
    <w:rsid w:val="000F74E4"/>
    <w:rsid w:val="00100734"/>
    <w:rsid w:val="00107CFB"/>
    <w:rsid w:val="001615CD"/>
    <w:rsid w:val="00190C1B"/>
    <w:rsid w:val="0019577A"/>
    <w:rsid w:val="001B0B3F"/>
    <w:rsid w:val="001E1090"/>
    <w:rsid w:val="001E2136"/>
    <w:rsid w:val="00210C8F"/>
    <w:rsid w:val="00212337"/>
    <w:rsid w:val="00216907"/>
    <w:rsid w:val="00242320"/>
    <w:rsid w:val="0025053D"/>
    <w:rsid w:val="002606C0"/>
    <w:rsid w:val="00260724"/>
    <w:rsid w:val="00274E49"/>
    <w:rsid w:val="002855A7"/>
    <w:rsid w:val="0029335F"/>
    <w:rsid w:val="002A5FFF"/>
    <w:rsid w:val="002C1CAB"/>
    <w:rsid w:val="002E1389"/>
    <w:rsid w:val="002F1DF8"/>
    <w:rsid w:val="00373AC0"/>
    <w:rsid w:val="00376654"/>
    <w:rsid w:val="00376EC3"/>
    <w:rsid w:val="003801F8"/>
    <w:rsid w:val="00392398"/>
    <w:rsid w:val="003F0ADC"/>
    <w:rsid w:val="00432A57"/>
    <w:rsid w:val="0048478E"/>
    <w:rsid w:val="00487CF3"/>
    <w:rsid w:val="004B32B8"/>
    <w:rsid w:val="004B4F9C"/>
    <w:rsid w:val="004B7CBE"/>
    <w:rsid w:val="004C1D67"/>
    <w:rsid w:val="004F3410"/>
    <w:rsid w:val="004F3B47"/>
    <w:rsid w:val="005001A1"/>
    <w:rsid w:val="00524523"/>
    <w:rsid w:val="00525CC1"/>
    <w:rsid w:val="0052638F"/>
    <w:rsid w:val="0053391F"/>
    <w:rsid w:val="005432D8"/>
    <w:rsid w:val="00544A16"/>
    <w:rsid w:val="00546FB1"/>
    <w:rsid w:val="00551503"/>
    <w:rsid w:val="005720C3"/>
    <w:rsid w:val="005759C5"/>
    <w:rsid w:val="005B7C47"/>
    <w:rsid w:val="005C3197"/>
    <w:rsid w:val="005C40BE"/>
    <w:rsid w:val="005E4432"/>
    <w:rsid w:val="00604EFC"/>
    <w:rsid w:val="00610885"/>
    <w:rsid w:val="0062508C"/>
    <w:rsid w:val="006468EB"/>
    <w:rsid w:val="006851CF"/>
    <w:rsid w:val="006A134D"/>
    <w:rsid w:val="006A3518"/>
    <w:rsid w:val="006B7CBB"/>
    <w:rsid w:val="006C5173"/>
    <w:rsid w:val="006D7334"/>
    <w:rsid w:val="00754846"/>
    <w:rsid w:val="00763283"/>
    <w:rsid w:val="00785163"/>
    <w:rsid w:val="007C13B4"/>
    <w:rsid w:val="007C2026"/>
    <w:rsid w:val="007E0BB8"/>
    <w:rsid w:val="007E6D78"/>
    <w:rsid w:val="007E78C0"/>
    <w:rsid w:val="007F3BE4"/>
    <w:rsid w:val="0081118C"/>
    <w:rsid w:val="008402EF"/>
    <w:rsid w:val="00853A8D"/>
    <w:rsid w:val="008B23DE"/>
    <w:rsid w:val="008D0339"/>
    <w:rsid w:val="008E1209"/>
    <w:rsid w:val="008E7406"/>
    <w:rsid w:val="008F5712"/>
    <w:rsid w:val="008F6C13"/>
    <w:rsid w:val="00901A7F"/>
    <w:rsid w:val="00916143"/>
    <w:rsid w:val="00925FB0"/>
    <w:rsid w:val="00934180"/>
    <w:rsid w:val="009477BF"/>
    <w:rsid w:val="00953AB1"/>
    <w:rsid w:val="00954C28"/>
    <w:rsid w:val="0095609C"/>
    <w:rsid w:val="009600BE"/>
    <w:rsid w:val="00960433"/>
    <w:rsid w:val="009A07A2"/>
    <w:rsid w:val="009B49AC"/>
    <w:rsid w:val="009C7A1B"/>
    <w:rsid w:val="00A018FE"/>
    <w:rsid w:val="00A14084"/>
    <w:rsid w:val="00A17555"/>
    <w:rsid w:val="00A963BB"/>
    <w:rsid w:val="00A96FF2"/>
    <w:rsid w:val="00AA73B1"/>
    <w:rsid w:val="00AB0704"/>
    <w:rsid w:val="00AD77D1"/>
    <w:rsid w:val="00AE6197"/>
    <w:rsid w:val="00AE7FB0"/>
    <w:rsid w:val="00AF0076"/>
    <w:rsid w:val="00B711F7"/>
    <w:rsid w:val="00B8034F"/>
    <w:rsid w:val="00B904E1"/>
    <w:rsid w:val="00B904E2"/>
    <w:rsid w:val="00B944E9"/>
    <w:rsid w:val="00BB35F9"/>
    <w:rsid w:val="00BB4159"/>
    <w:rsid w:val="00BC6C63"/>
    <w:rsid w:val="00BE17DA"/>
    <w:rsid w:val="00BE2F16"/>
    <w:rsid w:val="00BF371C"/>
    <w:rsid w:val="00C1529A"/>
    <w:rsid w:val="00C15675"/>
    <w:rsid w:val="00C27CAD"/>
    <w:rsid w:val="00C437B1"/>
    <w:rsid w:val="00C56AAC"/>
    <w:rsid w:val="00C57A12"/>
    <w:rsid w:val="00C66212"/>
    <w:rsid w:val="00C71A27"/>
    <w:rsid w:val="00C73BAF"/>
    <w:rsid w:val="00D117B6"/>
    <w:rsid w:val="00D20408"/>
    <w:rsid w:val="00D2441E"/>
    <w:rsid w:val="00D27C8B"/>
    <w:rsid w:val="00D3459C"/>
    <w:rsid w:val="00D72387"/>
    <w:rsid w:val="00D85546"/>
    <w:rsid w:val="00D950A3"/>
    <w:rsid w:val="00DB69B6"/>
    <w:rsid w:val="00DC5AB8"/>
    <w:rsid w:val="00E216CF"/>
    <w:rsid w:val="00E44B14"/>
    <w:rsid w:val="00E508DD"/>
    <w:rsid w:val="00E512E7"/>
    <w:rsid w:val="00E735F7"/>
    <w:rsid w:val="00E8713D"/>
    <w:rsid w:val="00EA4DEC"/>
    <w:rsid w:val="00EC0344"/>
    <w:rsid w:val="00EE7A5C"/>
    <w:rsid w:val="00F03706"/>
    <w:rsid w:val="00F52CD8"/>
    <w:rsid w:val="00FA3858"/>
    <w:rsid w:val="00FB2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53BDA"/>
  <w15:chartTrackingRefBased/>
  <w15:docId w15:val="{1FD43AA0-0301-4360-A050-7E52DC62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3BE4"/>
    <w:pPr>
      <w:ind w:left="720"/>
      <w:contextualSpacing/>
    </w:pPr>
  </w:style>
  <w:style w:type="paragraph" w:styleId="En-tte">
    <w:name w:val="header"/>
    <w:basedOn w:val="Normal"/>
    <w:link w:val="En-tteCar"/>
    <w:uiPriority w:val="99"/>
    <w:unhideWhenUsed/>
    <w:rsid w:val="008E1209"/>
    <w:pPr>
      <w:tabs>
        <w:tab w:val="center" w:pos="4536"/>
        <w:tab w:val="right" w:pos="9072"/>
      </w:tabs>
      <w:spacing w:after="0" w:line="240" w:lineRule="auto"/>
    </w:pPr>
  </w:style>
  <w:style w:type="character" w:customStyle="1" w:styleId="En-tteCar">
    <w:name w:val="En-tête Car"/>
    <w:basedOn w:val="Policepardfaut"/>
    <w:link w:val="En-tte"/>
    <w:uiPriority w:val="99"/>
    <w:rsid w:val="008E1209"/>
  </w:style>
  <w:style w:type="paragraph" w:styleId="Pieddepage">
    <w:name w:val="footer"/>
    <w:basedOn w:val="Normal"/>
    <w:link w:val="PieddepageCar"/>
    <w:uiPriority w:val="99"/>
    <w:unhideWhenUsed/>
    <w:rsid w:val="008E12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1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2580">
      <w:bodyDiv w:val="1"/>
      <w:marLeft w:val="0"/>
      <w:marRight w:val="0"/>
      <w:marTop w:val="0"/>
      <w:marBottom w:val="0"/>
      <w:divBdr>
        <w:top w:val="none" w:sz="0" w:space="0" w:color="auto"/>
        <w:left w:val="none" w:sz="0" w:space="0" w:color="auto"/>
        <w:bottom w:val="none" w:sz="0" w:space="0" w:color="auto"/>
        <w:right w:val="none" w:sz="0" w:space="0" w:color="auto"/>
      </w:divBdr>
    </w:div>
    <w:div w:id="15262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346F8-F380-4ED8-AA18-D117B294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1535</Words>
  <Characters>8199</Characters>
  <Application>Microsoft Office Word</Application>
  <DocSecurity>0</DocSecurity>
  <Lines>128</Lines>
  <Paragraphs>45</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CHORIN JACKY</dc:creator>
  <cp:keywords/>
  <dc:description/>
  <cp:lastModifiedBy>Marine GIMENEZ</cp:lastModifiedBy>
  <cp:revision>2</cp:revision>
  <cp:lastPrinted>2019-01-21T17:58:00Z</cp:lastPrinted>
  <dcterms:created xsi:type="dcterms:W3CDTF">2019-01-24T13:38:00Z</dcterms:created>
  <dcterms:modified xsi:type="dcterms:W3CDTF">2019-01-24T13:38:00Z</dcterms:modified>
</cp:coreProperties>
</file>